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4.1.9安全耐久相关技术要求应符合现行强制性工程建设规范《工程结构通用规范》GB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简要说明安全耐久相关技术要求符合现行强制性工程建设规范等规定的技术要求情况。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ascii="Times New Roman" w:hAnsi="Times New Roman" w:eastAsia="宋体" w:cs="Times New Roman"/>
                <w:kern w:val="0"/>
                <w:sz w:val="20"/>
                <w:szCs w:val="21"/>
              </w:rPr>
            </w:pPr>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 w:val="02874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9</Lines>
  <Paragraphs>14</Paragraphs>
  <TotalTime>2</TotalTime>
  <ScaleCrop>false</ScaleCrop>
  <LinksUpToDate>false</LinksUpToDate>
  <CharactersWithSpaces>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WPS_1602390626</cp:lastModifiedBy>
  <dcterms:modified xsi:type="dcterms:W3CDTF">2026-03-27T05:57:35Z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eyJoZGlkIjoiNzljMzA1OTBmNDBhNGNmYzg3Nzg4YjhkOTQ2ZmIwYWUiLCJ1c2VySWQiOiIxMTI5ODQwMjEzIn0=</vt:lpwstr>
  </property>
  <property fmtid="{D5CDD505-2E9C-101B-9397-08002B2CF9AE}" pid="3" name="KSOProductBuildVer">
    <vt:lpwstr>2052-12.1.0.23542</vt:lpwstr>
  </property>
  <property fmtid="{D5CDD505-2E9C-101B-9397-08002B2CF9AE}" pid="4" name="ICV">
    <vt:lpwstr>7B47AAC01DD040C9B22BEF537CD78E42_13</vt:lpwstr>
  </property>
</Properties>
</file>