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A9858B">
      <w:pPr>
        <w:pStyle w:val="3"/>
        <w:rPr>
          <w:rFonts w:eastAsiaTheme="minorEastAsia"/>
          <w:sz w:val="24"/>
          <w:szCs w:val="40"/>
        </w:rPr>
      </w:pPr>
      <w:r>
        <w:rPr>
          <w:rFonts w:hint="eastAsia" w:eastAsiaTheme="minorEastAsia"/>
          <w:sz w:val="24"/>
          <w:szCs w:val="40"/>
        </w:rPr>
        <w:t>6.1.3 停车场应具有电动汽车充电设施或具备充电设施的安装条件，并应合理设置电动汽车和无障碍汽车停车位。</w:t>
      </w:r>
    </w:p>
    <w:p w14:paraId="6CB42970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 w14:paraId="6A34F386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2139399961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30555658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 w14:paraId="7B5CB684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6D52207D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场地内是否设置电动汽车停车位：</w:t>
      </w:r>
      <w:sdt>
        <w:sdtPr>
          <w:rPr>
            <w:rFonts w:hint="eastAsia" w:ascii="Times New Roman" w:hAnsi="Times New Roman" w:cs="Times New Roman"/>
          </w:rPr>
          <w:id w:val="-955868547"/>
        </w:sdtPr>
        <w:sdtEndPr>
          <w:rPr>
            <w:rFonts w:hint="eastAsia" w:ascii="Times New Roman" w:hAnsi="Times New Roman" w:cs="Times New Roman"/>
          </w:rPr>
        </w:sdtEndPr>
        <w:sdtContent>
          <w:sdt>
            <w:sdtPr>
              <w:rPr>
                <w:rFonts w:hint="eastAsia"/>
                <w:sz w:val="28"/>
              </w:rPr>
              <w:id w:val="-1084688206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  <w:r>
            <w:rPr>
              <w:rFonts w:hint="eastAsia" w:ascii="Times New Roman" w:hAnsi="Times New Roman" w:cs="Times New Roman"/>
            </w:rPr>
            <w:t xml:space="preserve">是 </w:t>
          </w:r>
        </w:sdtContent>
      </w:sdt>
      <w:sdt>
        <w:sdtPr>
          <w:rPr>
            <w:rFonts w:hint="eastAsia" w:ascii="Times New Roman" w:hAnsi="Times New Roman" w:cs="Times New Roman"/>
          </w:rPr>
          <w:id w:val="225345254"/>
        </w:sdtPr>
        <w:sdtEndPr>
          <w:rPr>
            <w:rFonts w:hint="eastAsia" w:ascii="Times New Roman" w:hAnsi="Times New Roman" w:cs="Times New Roman"/>
          </w:rPr>
        </w:sdtEndPr>
        <w:sdtContent>
          <w:sdt>
            <w:sdtPr>
              <w:rPr>
                <w:rFonts w:hint="eastAsia"/>
                <w:sz w:val="28"/>
              </w:rPr>
              <w:id w:val="1665117509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£</w:t>
              </w:r>
            </w:sdtContent>
          </w:sdt>
        </w:sdtContent>
      </w:sdt>
      <w:r>
        <w:rPr>
          <w:rFonts w:hint="eastAsia" w:ascii="Times New Roman" w:hAnsi="Times New Roman" w:cs="Times New Roman"/>
        </w:rPr>
        <w:t>否；是否设置无障碍汽车停车位：</w:t>
      </w:r>
      <w:sdt>
        <w:sdtPr>
          <w:rPr>
            <w:rFonts w:hint="eastAsia" w:ascii="Times New Roman" w:hAnsi="Times New Roman" w:cs="Times New Roman"/>
          </w:rPr>
          <w:id w:val="2058974317"/>
        </w:sdtPr>
        <w:sdtEndPr>
          <w:rPr>
            <w:rFonts w:hint="eastAsia" w:ascii="Times New Roman" w:hAnsi="Times New Roman" w:cs="Times New Roman"/>
          </w:rPr>
        </w:sdtEndPr>
        <w:sdtContent>
          <w:sdt>
            <w:sdtPr>
              <w:rPr>
                <w:rFonts w:hint="eastAsia"/>
                <w:sz w:val="28"/>
              </w:rPr>
              <w:id w:val="-15547043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  <w:r>
            <w:rPr>
              <w:rFonts w:hint="eastAsia" w:ascii="Times New Roman" w:hAnsi="Times New Roman" w:cs="Times New Roman"/>
            </w:rPr>
            <w:t>是</w:t>
          </w:r>
        </w:sdtContent>
      </w:sdt>
      <w:r>
        <w:rPr>
          <w:rFonts w:hint="eastAsia" w:ascii="Times New Roman" w:hAnsi="Times New Roman" w:cs="Times New Roman"/>
        </w:rPr>
        <w:t xml:space="preserve"> </w:t>
      </w:r>
      <w:sdt>
        <w:sdtPr>
          <w:rPr>
            <w:rFonts w:hint="eastAsia"/>
            <w:sz w:val="28"/>
          </w:rPr>
          <w:id w:val="-2071104109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ascii="Times New Roman" w:hAnsi="Times New Roman" w:cs="Times New Roman"/>
        </w:rPr>
        <w:t>否</w:t>
      </w:r>
    </w:p>
    <w:p w14:paraId="5EC74987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场地内是否设有电动汽车充电设施：</w:t>
      </w:r>
      <w:sdt>
        <w:sdtPr>
          <w:rPr>
            <w:rFonts w:hint="eastAsia" w:ascii="Times New Roman" w:hAnsi="Times New Roman" w:cs="Times New Roman"/>
          </w:rPr>
          <w:id w:val="836504892"/>
        </w:sdtPr>
        <w:sdtEndPr>
          <w:rPr>
            <w:rFonts w:hint="eastAsia" w:ascii="Times New Roman" w:hAnsi="Times New Roman" w:cs="Times New Roman"/>
          </w:rPr>
        </w:sdtEndPr>
        <w:sdtContent>
          <w:sdt>
            <w:sdtPr>
              <w:rPr>
                <w:rFonts w:hint="eastAsia"/>
                <w:sz w:val="28"/>
              </w:rPr>
              <w:id w:val="382605861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  <w:r>
            <w:rPr>
              <w:rFonts w:hint="eastAsia" w:ascii="Times New Roman" w:hAnsi="Times New Roman" w:cs="Times New Roman"/>
            </w:rPr>
            <w:t xml:space="preserve">是 </w:t>
          </w:r>
        </w:sdtContent>
      </w:sdt>
      <w:sdt>
        <w:sdtPr>
          <w:rPr>
            <w:rFonts w:hint="eastAsia" w:ascii="Times New Roman" w:hAnsi="Times New Roman" w:cs="Times New Roman"/>
          </w:rPr>
          <w:id w:val="250083241"/>
        </w:sdtPr>
        <w:sdtEndPr>
          <w:rPr>
            <w:rFonts w:hint="eastAsia" w:ascii="Times New Roman" w:hAnsi="Times New Roman" w:cs="Times New Roman"/>
          </w:rPr>
        </w:sdtEndPr>
        <w:sdtContent>
          <w:sdt>
            <w:sdtPr>
              <w:rPr>
                <w:rFonts w:hint="eastAsia"/>
                <w:sz w:val="28"/>
              </w:rPr>
              <w:id w:val="-1681109115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 w:ascii="Times New Roman" w:hAnsi="Times New Roman" w:cs="Times New Roman"/>
        </w:rPr>
        <w:t>否；若否，是否具备充电设施的安装条件：</w:t>
      </w:r>
      <w:sdt>
        <w:sdtPr>
          <w:rPr>
            <w:rFonts w:hint="eastAsia" w:ascii="Times New Roman" w:hAnsi="Times New Roman" w:cs="Times New Roman"/>
          </w:rPr>
          <w:id w:val="-139038397"/>
        </w:sdtPr>
        <w:sdtEndPr>
          <w:rPr>
            <w:rFonts w:hint="eastAsia" w:ascii="Times New Roman" w:hAnsi="Times New Roman" w:cs="Times New Roman"/>
          </w:rPr>
        </w:sdtEndPr>
        <w:sdtContent>
          <w:sdt>
            <w:sdtPr>
              <w:rPr>
                <w:rFonts w:hint="eastAsia"/>
                <w:sz w:val="28"/>
              </w:rPr>
              <w:id w:val="-1916623543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  <w:r>
            <w:rPr>
              <w:rFonts w:hint="eastAsia" w:ascii="Times New Roman" w:hAnsi="Times New Roman" w:cs="Times New Roman"/>
            </w:rPr>
            <w:t xml:space="preserve">是 </w:t>
          </w:r>
        </w:sdtContent>
      </w:sdt>
      <w:sdt>
        <w:sdtPr>
          <w:rPr>
            <w:rFonts w:hint="eastAsia" w:ascii="Times New Roman" w:hAnsi="Times New Roman" w:cs="Times New Roman"/>
          </w:rPr>
          <w:id w:val="1941338741"/>
        </w:sdtPr>
        <w:sdtEndPr>
          <w:rPr>
            <w:rFonts w:hint="eastAsia" w:ascii="Times New Roman" w:hAnsi="Times New Roman" w:cs="Times New Roman"/>
          </w:rPr>
        </w:sdtEndPr>
        <w:sdtContent>
          <w:sdt>
            <w:sdtPr>
              <w:rPr>
                <w:rFonts w:hint="eastAsia"/>
                <w:sz w:val="28"/>
              </w:rPr>
              <w:id w:val="1082802482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£</w:t>
              </w:r>
            </w:sdtContent>
          </w:sdt>
        </w:sdtContent>
      </w:sdt>
      <w:r>
        <w:rPr>
          <w:rFonts w:hint="eastAsia" w:ascii="Times New Roman" w:hAnsi="Times New Roman" w:cs="Times New Roman"/>
        </w:rPr>
        <w:t>否</w:t>
      </w:r>
    </w:p>
    <w:p w14:paraId="45F5733B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停车场所设置规模</w:t>
      </w:r>
    </w:p>
    <w:tbl>
      <w:tblPr>
        <w:tblStyle w:val="6"/>
        <w:tblW w:w="92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9"/>
        <w:gridCol w:w="2268"/>
        <w:gridCol w:w="2146"/>
        <w:gridCol w:w="1976"/>
      </w:tblGrid>
      <w:tr w14:paraId="57106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899" w:type="dxa"/>
            <w:vAlign w:val="center"/>
          </w:tcPr>
          <w:p w14:paraId="2D90620A">
            <w:pPr>
              <w:jc w:val="center"/>
            </w:pPr>
            <w:r>
              <w:rPr>
                <w:rFonts w:hint="eastAsia"/>
              </w:rPr>
              <w:t>类别</w:t>
            </w:r>
          </w:p>
        </w:tc>
        <w:tc>
          <w:tcPr>
            <w:tcW w:w="2268" w:type="dxa"/>
            <w:vAlign w:val="center"/>
          </w:tcPr>
          <w:p w14:paraId="04A7FB2D">
            <w:pPr>
              <w:jc w:val="center"/>
            </w:pPr>
            <w:r>
              <w:rPr>
                <w:rFonts w:hint="eastAsia"/>
              </w:rPr>
              <w:t>当地规范限值（辆）</w:t>
            </w:r>
          </w:p>
        </w:tc>
        <w:tc>
          <w:tcPr>
            <w:tcW w:w="2146" w:type="dxa"/>
            <w:vAlign w:val="center"/>
          </w:tcPr>
          <w:p w14:paraId="750360EB">
            <w:pPr>
              <w:jc w:val="center"/>
            </w:pPr>
            <w:r>
              <w:rPr>
                <w:rFonts w:hint="eastAsia"/>
              </w:rPr>
              <w:t>设计值（辆）</w:t>
            </w:r>
          </w:p>
        </w:tc>
        <w:tc>
          <w:tcPr>
            <w:tcW w:w="1976" w:type="dxa"/>
            <w:vAlign w:val="center"/>
          </w:tcPr>
          <w:p w14:paraId="267B0407">
            <w:pPr>
              <w:jc w:val="center"/>
            </w:pPr>
            <w:r>
              <w:rPr>
                <w:rFonts w:hint="eastAsia"/>
              </w:rPr>
              <w:t>是否满足</w:t>
            </w:r>
          </w:p>
        </w:tc>
      </w:tr>
      <w:tr w14:paraId="16152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99" w:type="dxa"/>
            <w:vAlign w:val="center"/>
          </w:tcPr>
          <w:p w14:paraId="7EFA76B2">
            <w:pPr>
              <w:jc w:val="center"/>
            </w:pPr>
            <w:r>
              <w:rPr>
                <w:rFonts w:hint="eastAsia"/>
              </w:rPr>
              <w:t>机动车停车位数量</w:t>
            </w:r>
          </w:p>
        </w:tc>
        <w:tc>
          <w:tcPr>
            <w:tcW w:w="2268" w:type="dxa"/>
            <w:vAlign w:val="center"/>
          </w:tcPr>
          <w:tbl>
            <w:tblPr>
              <w:tblW w:w="5000" w:type="dxa"/>
              <w:tblInd w:w="-8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5000"/>
            </w:tblGrid>
            <w:tr w14:paraId="10A25A3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90" w:hRule="atLeast"/>
              </w:trPr>
              <w:tc>
                <w:tcPr>
                  <w:tcW w:w="5000" w:type="dxa"/>
                  <w:tcBorders>
                    <w:top w:val="single" w:color="DEE0E3" w:sz="4" w:space="0"/>
                    <w:left w:val="single" w:color="DEE0E3" w:sz="4" w:space="0"/>
                    <w:bottom w:val="single" w:color="DEE0E3" w:sz="4" w:space="0"/>
                    <w:right w:val="single" w:color="DEE0E3" w:sz="4" w:space="0"/>
                  </w:tcBorders>
                  <w:shd w:val="clear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top"/>
                </w:tcPr>
                <w:p w14:paraId="0C27D6D7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jc w:val="left"/>
                    <w:textAlignment w:val="top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按学校规模、建筑面积</w:t>
                  </w:r>
                </w:p>
                <w:p w14:paraId="2E247B05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jc w:val="left"/>
                    <w:textAlignment w:val="top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及浙江省配建标准核算，</w:t>
                  </w:r>
                </w:p>
                <w:p w14:paraId="5A15EC20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jc w:val="left"/>
                    <w:textAlignment w:val="top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满足校园办公、教职工</w:t>
                  </w:r>
                </w:p>
                <w:p w14:paraId="68FDCDC4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jc w:val="left"/>
                    <w:textAlignment w:val="top"/>
                    <w:rPr>
                      <w:sz w:val="20"/>
                      <w:szCs w:val="20"/>
                    </w:rPr>
                  </w:pPr>
                  <w:bookmarkStart w:id="0" w:name="_GoBack"/>
                  <w:bookmarkEnd w:id="0"/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通勤及公务停车需求</w:t>
                  </w:r>
                </w:p>
              </w:tc>
            </w:tr>
          </w:tbl>
          <w:p w14:paraId="201FD6F0">
            <w:pPr>
              <w:jc w:val="center"/>
            </w:pPr>
          </w:p>
        </w:tc>
        <w:tc>
          <w:tcPr>
            <w:tcW w:w="2146" w:type="dxa"/>
            <w:vAlign w:val="center"/>
          </w:tcPr>
          <w:p w14:paraId="2B1C51F0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1976" w:type="dxa"/>
            <w:vAlign w:val="center"/>
          </w:tcPr>
          <w:p w14:paraId="168ED3B3">
            <w:pPr>
              <w:jc w:val="center"/>
            </w:pPr>
            <w:sdt>
              <w:sdtPr>
                <w:rPr>
                  <w:rFonts w:hint="eastAsia"/>
                  <w:color w:val="808080"/>
                </w:rPr>
                <w:id w:val="-1772542533"/>
              </w:sdtPr>
              <w:sdtEndPr>
                <w:rPr>
                  <w:rFonts w:hint="eastAsia"/>
                  <w:color w:val="808080"/>
                </w:rPr>
              </w:sdtEndPr>
              <w:sdtContent>
                <w:sdt>
                  <w:sdtPr>
                    <w:rPr>
                      <w:rFonts w:hint="eastAsia"/>
                    </w:rPr>
                    <w:id w:val="10748639"/>
                  </w:sdtPr>
                  <w:sdtEndPr>
                    <w:rPr>
                      <w:rFonts w:hint="eastAsia"/>
                    </w:rPr>
                  </w:sdtEndPr>
                  <w:sdtContent>
                    <w:sdt>
                      <w:sdtPr>
                        <w:rPr>
                          <w:rFonts w:hint="eastAsia"/>
                        </w:rPr>
                        <w:id w:val="14018608"/>
                      </w:sdtPr>
                      <w:sdtEndPr>
                        <w:rPr>
                          <w:rFonts w:hint="eastAsia"/>
                        </w:rPr>
                      </w:sdtEndPr>
                      <w:sdtContent>
                        <w:sdt>
                          <w:sdtPr>
                            <w:rPr>
                              <w:rFonts w:hint="eastAsia"/>
                            </w:rPr>
                            <w:id w:val="2120557"/>
                          </w:sdtPr>
                          <w:sdtEndPr>
                            <w:rPr>
                              <w:rFonts w:hint="eastAsia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hint="eastAsia"/>
                                </w:rPr>
                                <w:id w:val="-1989699587"/>
                              </w:sdtPr>
                              <w:sdtEndPr>
                                <w:rPr>
                                  <w:rFonts w:hint="eastAsia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Fonts w:hint="eastAsia"/>
                                      <w:sz w:val="28"/>
                                    </w:rPr>
                                    <w:id w:val="-472295421"/>
                                    <w14:checkbox>
                                      <w14:checked w14:val="1"/>
                                      <w14:checkedState w14:val="0052" w14:font="Wingdings 2"/>
                                      <w14:uncheckedState w14:val="00A3" w14:font="Wingdings 2"/>
                                    </w14:checkbox>
                                  </w:sdtPr>
                                  <w:sdtEndPr>
                                    <w:rPr>
                                      <w:rFonts w:hint="eastAsia"/>
                                      <w:sz w:val="28"/>
                                    </w:rPr>
                                  </w:sdtEndPr>
                                  <w:sdtContent>
                                    <w:r>
                                      <w:rPr>
                                        <w:rFonts w:hint="eastAsia" w:ascii="Wingdings 2" w:hAnsi="Wingdings 2" w:eastAsiaTheme="minorEastAsia" w:cstheme="minorBidi"/>
                                        <w:kern w:val="2"/>
                                        <w:sz w:val="28"/>
                                        <w:szCs w:val="22"/>
                                        <w:lang w:val="en-US" w:eastAsia="zh-CN" w:bidi="ar-SA"/>
                                      </w:rPr>
                                      <w:t>R</w:t>
                                    </w:r>
                                  </w:sdtContent>
                                </w:sdt>
                              </w:sdtContent>
                            </w:sdt>
                          </w:sdtContent>
                        </w:sdt>
                      </w:sdtContent>
                    </w:sdt>
                  </w:sdtContent>
                </w:sdt>
              </w:sdtContent>
            </w:sdt>
            <w:r>
              <w:rPr>
                <w:rFonts w:hint="eastAsia"/>
              </w:rPr>
              <w:t xml:space="preserve">是 </w:t>
            </w:r>
            <w:sdt>
              <w:sdtPr>
                <w:rPr>
                  <w:rFonts w:hint="eastAsia"/>
                </w:rPr>
                <w:id w:val="-868673299"/>
              </w:sdtPr>
              <w:sdtEndPr>
                <w:rPr>
                  <w:rFonts w:hint="eastAsia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-672646613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>
              <w:rPr>
                <w:rFonts w:hint="eastAsia"/>
              </w:rPr>
              <w:t>否</w:t>
            </w:r>
          </w:p>
        </w:tc>
      </w:tr>
      <w:tr w14:paraId="17E78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899" w:type="dxa"/>
            <w:vAlign w:val="center"/>
          </w:tcPr>
          <w:p w14:paraId="64F6847F">
            <w:pPr>
              <w:jc w:val="center"/>
            </w:pPr>
            <w:r>
              <w:rPr>
                <w:rFonts w:hint="eastAsia"/>
              </w:rPr>
              <w:t>电动汽车停车位数量</w:t>
            </w:r>
          </w:p>
        </w:tc>
        <w:tc>
          <w:tcPr>
            <w:tcW w:w="2268" w:type="dxa"/>
            <w:vAlign w:val="center"/>
          </w:tcPr>
          <w:tbl>
            <w:tblPr>
              <w:tblW w:w="5000" w:type="dxa"/>
              <w:tblInd w:w="-8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5000"/>
            </w:tblGrid>
            <w:tr w14:paraId="13E8F48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390" w:hRule="atLeast"/>
              </w:trPr>
              <w:tc>
                <w:tcPr>
                  <w:tcW w:w="5000" w:type="dxa"/>
                  <w:tcBorders>
                    <w:top w:val="single" w:color="DEE0E3" w:sz="4" w:space="0"/>
                    <w:left w:val="single" w:color="DEE0E3" w:sz="4" w:space="0"/>
                    <w:bottom w:val="single" w:color="DEE0E3" w:sz="4" w:space="0"/>
                    <w:right w:val="single" w:color="DEE0E3" w:sz="4" w:space="0"/>
                  </w:tcBorders>
                  <w:shd w:val="clear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top"/>
                </w:tcPr>
                <w:p w14:paraId="378A111E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jc w:val="left"/>
                    <w:textAlignment w:val="top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不低于总机动车车位的</w:t>
                  </w:r>
                </w:p>
                <w:p w14:paraId="4CF98548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jc w:val="left"/>
                    <w:textAlignment w:val="top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10%，预留充电设施安装</w:t>
                  </w:r>
                </w:p>
                <w:p w14:paraId="0F447323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jc w:val="left"/>
                    <w:textAlignment w:val="top"/>
                    <w:rPr>
                      <w:sz w:val="20"/>
                      <w:szCs w:val="20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条件</w:t>
                  </w:r>
                </w:p>
              </w:tc>
            </w:tr>
          </w:tbl>
          <w:p w14:paraId="347DEFB6">
            <w:pPr>
              <w:jc w:val="center"/>
            </w:pPr>
          </w:p>
        </w:tc>
        <w:tc>
          <w:tcPr>
            <w:tcW w:w="2146" w:type="dxa"/>
            <w:vAlign w:val="center"/>
          </w:tcPr>
          <w:p w14:paraId="1BBD5F98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1976" w:type="dxa"/>
          </w:tcPr>
          <w:p w14:paraId="63ADFDE5">
            <w:pPr>
              <w:jc w:val="center"/>
              <w:rPr>
                <w:lang w:val="zh-CN"/>
              </w:rPr>
            </w:pPr>
            <w:sdt>
              <w:sdtPr>
                <w:rPr>
                  <w:rFonts w:hint="eastAsia"/>
                </w:rPr>
                <w:id w:val="-1089073828"/>
              </w:sdtPr>
              <w:sdtEndPr>
                <w:rPr>
                  <w:rFonts w:hint="eastAsia"/>
                  <w:sz w:val="28"/>
                </w:rPr>
              </w:sdtEndPr>
              <w:sdtContent/>
            </w:sdt>
            <w:sdt>
              <w:sdtPr>
                <w:rPr>
                  <w:rFonts w:hint="eastAsia"/>
                  <w:sz w:val="28"/>
                </w:rPr>
                <w:id w:val="560519654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/>
              </w:rPr>
              <w:t xml:space="preserve">是 </w:t>
            </w:r>
            <w:sdt>
              <w:sdtPr>
                <w:rPr>
                  <w:rFonts w:hint="eastAsia"/>
                </w:rPr>
                <w:id w:val="-1031414182"/>
              </w:sdtPr>
              <w:sdtEndPr>
                <w:rPr>
                  <w:rFonts w:hint="eastAsia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-2127919511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>
              <w:rPr>
                <w:rFonts w:hint="eastAsia"/>
              </w:rPr>
              <w:t>否</w:t>
            </w:r>
          </w:p>
        </w:tc>
      </w:tr>
      <w:tr w14:paraId="58872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2899" w:type="dxa"/>
            <w:vAlign w:val="center"/>
          </w:tcPr>
          <w:p w14:paraId="329D94CF">
            <w:pPr>
              <w:jc w:val="center"/>
            </w:pPr>
            <w:r>
              <w:rPr>
                <w:rFonts w:hint="eastAsia"/>
              </w:rPr>
              <w:t>无障碍汽车停车位数量</w:t>
            </w:r>
          </w:p>
        </w:tc>
        <w:tc>
          <w:tcPr>
            <w:tcW w:w="2268" w:type="dxa"/>
            <w:vAlign w:val="center"/>
          </w:tcPr>
          <w:tbl>
            <w:tblPr>
              <w:tblW w:w="5000" w:type="dxa"/>
              <w:tblInd w:w="-8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5000"/>
            </w:tblGrid>
            <w:tr w14:paraId="1CA2956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90" w:hRule="atLeast"/>
              </w:trPr>
              <w:tc>
                <w:tcPr>
                  <w:tcW w:w="5000" w:type="dxa"/>
                  <w:tcBorders>
                    <w:top w:val="single" w:color="DEE0E3" w:sz="4" w:space="0"/>
                    <w:left w:val="single" w:color="DEE0E3" w:sz="4" w:space="0"/>
                    <w:bottom w:val="single" w:color="DEE0E3" w:sz="4" w:space="0"/>
                    <w:right w:val="single" w:color="DEE0E3" w:sz="4" w:space="0"/>
                  </w:tcBorders>
                  <w:shd w:val="clear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top"/>
                </w:tcPr>
                <w:p w14:paraId="013A721E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jc w:val="left"/>
                    <w:textAlignment w:val="top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不低于总机动车车位的</w:t>
                  </w:r>
                </w:p>
                <w:p w14:paraId="44BECEAE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jc w:val="left"/>
                    <w:textAlignment w:val="top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2%，且不少于1个，就</w:t>
                  </w:r>
                </w:p>
                <w:p w14:paraId="17F46693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jc w:val="left"/>
                    <w:textAlignment w:val="top"/>
                    <w:rPr>
                      <w:sz w:val="20"/>
                      <w:szCs w:val="20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近布置、通行便捷</w:t>
                  </w:r>
                </w:p>
              </w:tc>
            </w:tr>
          </w:tbl>
          <w:p w14:paraId="51AAFC3B">
            <w:pPr>
              <w:jc w:val="center"/>
            </w:pPr>
          </w:p>
        </w:tc>
        <w:tc>
          <w:tcPr>
            <w:tcW w:w="2146" w:type="dxa"/>
            <w:vAlign w:val="center"/>
          </w:tcPr>
          <w:p w14:paraId="66054105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976" w:type="dxa"/>
          </w:tcPr>
          <w:p w14:paraId="580E3405">
            <w:pPr>
              <w:jc w:val="center"/>
              <w:rPr>
                <w:color w:val="808080"/>
              </w:rPr>
            </w:pPr>
            <w:sdt>
              <w:sdtPr>
                <w:rPr>
                  <w:rFonts w:hint="eastAsia"/>
                </w:rPr>
                <w:id w:val="-2111730516"/>
              </w:sdtPr>
              <w:sdtEndPr>
                <w:rPr>
                  <w:rFonts w:hint="eastAsia"/>
                  <w:sz w:val="28"/>
                </w:rPr>
              </w:sdtEndPr>
              <w:sdtContent/>
            </w:sdt>
            <w:sdt>
              <w:sdtPr>
                <w:rPr>
                  <w:rFonts w:hint="eastAsia"/>
                  <w:sz w:val="28"/>
                </w:rPr>
                <w:id w:val="20058960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/>
              </w:rPr>
              <w:t xml:space="preserve">是 </w:t>
            </w:r>
            <w:sdt>
              <w:sdtPr>
                <w:rPr>
                  <w:rFonts w:hint="eastAsia"/>
                </w:rPr>
                <w:id w:val="951512651"/>
              </w:sdtPr>
              <w:sdtEndPr>
                <w:rPr>
                  <w:rFonts w:hint="eastAsia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494614235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 w:ascii="Wingdings 2" w:hAnsi="Wingdings 2" w:eastAsiaTheme="minorEastAsia" w:cstheme="minorBidi"/>
                        <w:kern w:val="2"/>
                        <w:sz w:val="28"/>
                        <w:szCs w:val="22"/>
                        <w:lang w:val="en-US" w:eastAsia="zh-CN" w:bidi="ar-SA"/>
                      </w:rPr>
                      <w:t>£</w:t>
                    </w:r>
                  </w:sdtContent>
                </w:sdt>
              </w:sdtContent>
            </w:sdt>
            <w:r>
              <w:rPr>
                <w:rFonts w:hint="eastAsia"/>
              </w:rPr>
              <w:t>否</w:t>
            </w:r>
          </w:p>
        </w:tc>
      </w:tr>
    </w:tbl>
    <w:p w14:paraId="4C70842B"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请简要说明机动车停车位设置、停车方式、停车场管理等。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4AD9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69919409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本项目机动车与非机动车均采用全地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上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的方式，地面均为绿化用地及公共活动用地，不会挤占地上步行空间活动场所。</w:t>
            </w:r>
          </w:p>
          <w:p w14:paraId="14D8AF14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 xml:space="preserve"> 本项目设置有车辆管理系统，采用基于TCP/IP智能化设备网的IP数字一卡通系统，每个小区出入口均为一进一出，小区出入岗亭设置管理电脑，入口主机配置临时发卡器，卡片回收由人员手动完成。</w:t>
            </w:r>
          </w:p>
        </w:tc>
      </w:tr>
    </w:tbl>
    <w:p w14:paraId="62250A59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1541A2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提交材料及要求：</w:t>
      </w:r>
    </w:p>
    <w:p w14:paraId="71A8C957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1）建筑专业竣工图纸及设计说明，应包括电动汽车停车位和无障碍停车位的设计内容；</w:t>
      </w:r>
    </w:p>
    <w:p w14:paraId="5756FDF4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2）电气专业竣工图及设计说明，应包括充电设施条件、配电系统要求、布线系统要求、计量要求等。</w:t>
      </w:r>
    </w:p>
    <w:p w14:paraId="19647356"/>
    <w:p w14:paraId="6D12EB48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13E7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7" w:hRule="atLeast"/>
          <w:jc w:val="center"/>
        </w:trPr>
        <w:tc>
          <w:tcPr>
            <w:tcW w:w="9356" w:type="dxa"/>
          </w:tcPr>
          <w:p w14:paraId="2DBE93A3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5A87E67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E52"/>
    <w:rsid w:val="00074A38"/>
    <w:rsid w:val="00313A8C"/>
    <w:rsid w:val="003239DC"/>
    <w:rsid w:val="003838DB"/>
    <w:rsid w:val="00710E52"/>
    <w:rsid w:val="0087326E"/>
    <w:rsid w:val="008E4A0D"/>
    <w:rsid w:val="00FF4DFD"/>
    <w:rsid w:val="64FF3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480</Words>
  <Characters>490</Characters>
  <Lines>4</Lines>
  <Paragraphs>1</Paragraphs>
  <TotalTime>9</TotalTime>
  <ScaleCrop>false</ScaleCrop>
  <LinksUpToDate>false</LinksUpToDate>
  <CharactersWithSpaces>502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2019-07-12T07:56:00Z</dcterms:created>
  <dc:creator>dongYP</dc:creator>
  <cp:lastModifiedBy>WPS_1602390626</cp:lastModifiedBy>
  <dcterms:modified xsi:type="dcterms:W3CDTF">2026-03-27T06:10:45Z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eyJoZGlkIjoiNzljMzA1OTBmNDBhNGNmYzg3Nzg4YjhkOTQ2ZmIwYWUiLCJ1c2VySWQiOiIxMTI5ODQwMjEzIn0=</vt:lpwstr>
  </property>
  <property fmtid="{D5CDD505-2E9C-101B-9397-08002B2CF9AE}" pid="3" name="KSOProductBuildVer">
    <vt:lpwstr>2052-12.1.0.23542</vt:lpwstr>
  </property>
  <property fmtid="{D5CDD505-2E9C-101B-9397-08002B2CF9AE}" pid="4" name="ICV">
    <vt:lpwstr>C6A81E3B6677411C8814C87DEA394F2B_13</vt:lpwstr>
  </property>
</Properties>
</file>