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4274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 w14:paraId="4B3AEC5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814DE0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E95B18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DD860E2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 xml:space="preserve"> Ⅳ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浙江金华</w:t>
          </w:r>
          <w:r>
            <w:rPr>
              <w:rFonts w:hint="eastAsia"/>
              <w:u w:val="single"/>
            </w:rPr>
            <w:t xml:space="preserve">   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 w14:paraId="53C6B40E"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 xml:space="preserve"> ≥3h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 xml:space="preserve">大寒日≥3 </w:t>
          </w:r>
          <w:r>
            <w:rPr>
              <w:rFonts w:hint="eastAsia"/>
              <w:u w:val="single"/>
            </w:rPr>
            <w:t xml:space="preserve">    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 xml:space="preserve">满足教学建筑、公共建筑日照管控要求    </w:t>
          </w:r>
          <w:r>
            <w:rPr>
              <w:rFonts w:hint="eastAsia"/>
              <w:u w:val="single"/>
            </w:rPr>
            <w:t xml:space="preserve">   </w:t>
          </w:r>
        </w:sdtContent>
      </w:sdt>
    </w:p>
    <w:p w14:paraId="5DB90EBD"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 xml:space="preserve">《建筑采光设计标准》GB 50033、《城市居住区规划设计标准》GB 50180、浙江省城市建筑工程日照分析技术规程  </w:t>
          </w:r>
          <w:r>
            <w:rPr>
              <w:u w:val="single"/>
            </w:rPr>
            <w:t xml:space="preserve">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14:paraId="6B09110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 w14:paraId="41B10FB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959829C"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 w14:paraId="69C7B8E0"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 w14:paraId="27244111"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 w14:paraId="17E55AEB"/>
    <w:p w14:paraId="3694EFA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35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3BD7E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0CA2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7227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2</Lines>
  <Paragraphs>1</Paragraphs>
  <TotalTime>4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WPS_1602390626</cp:lastModifiedBy>
  <dcterms:modified xsi:type="dcterms:W3CDTF">2026-03-27T06:45:23Z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5FC5BBD96B6445BCA28114B4A1037885_13</vt:lpwstr>
  </property>
</Properties>
</file>