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93EE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 w14:paraId="30D1DA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9234E5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6ED5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387C1AC"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 xml:space="preserve">26.8℃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 xml:space="preserve">1.2℃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 xml:space="preserve">0.35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 xml:space="preserve">85 </w:t>
          </w:r>
          <w:r>
            <w:rPr>
              <w:rFonts w:hint="eastAsia"/>
              <w:u w:val="single"/>
            </w:rPr>
            <w:t xml:space="preserve">        </w:t>
          </w:r>
        </w:sdtContent>
      </w:sdt>
      <w:r>
        <w:rPr>
          <w:rFonts w:hint="eastAsia"/>
        </w:rPr>
        <w:t xml:space="preserve"> %</w:t>
      </w:r>
    </w:p>
    <w:p w14:paraId="6061A0F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D4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11F7A4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项目结合校园室外空间特点，多措并举降低热岛强度、优化室外热环境，提升师生活动舒适度。通过选用高反射率屋面、透水铺装材料，减少硬质地面吸蓄热量，降低地表与建筑表面温度，缓解局部热岛效应；合理布置绿化、外墙花池及室外遮阳设施，提升场地遮阳覆盖率，阻隔太阳直射辐射，营造阴凉舒适的室外活动空间。</w:t>
            </w:r>
          </w:p>
          <w:p w14:paraId="10340B4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同时优化建筑布局与室外空间排布，保证场地通风顺畅，提升夏季自然通风散热效果；规整室外绿化、水景等降温设施，调节室外温湿度，改善微气候。各项措施贴合当地气候特点，有效降低室外热岛强度，营造凉爽、适宜的校园室外环境，满足师生日常活动、休憩的舒适度需求。</w:t>
            </w:r>
          </w:p>
          <w:p w14:paraId="12B73B4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0206DC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EA3DCD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086046C"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 w14:paraId="7EB027DC"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 w14:paraId="1A0A7ADB"/>
    <w:p w14:paraId="0E74DF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47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73355B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BBD1E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3A6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216</Characters>
  <Lines>2</Lines>
  <Paragraphs>1</Paragraphs>
  <TotalTime>6</TotalTime>
  <ScaleCrop>false</ScaleCrop>
  <LinksUpToDate>false</LinksUpToDate>
  <CharactersWithSpaces>258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WPS_1602390626</cp:lastModifiedBy>
  <dcterms:modified xsi:type="dcterms:W3CDTF">2026-03-27T06:52:11Z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6CFD4B92F10943A184E5906D1117C0E2_13</vt:lpwstr>
  </property>
</Properties>
</file>