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潮宗街火灾纪念馆2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围护结构提高%或负荷降低20.1%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卧室分户墙和卧室分户楼板两侧房间之间的空气声隔声性能（计权标准化声压级差与交通噪声频谱修正量之和DnT,w+Ctr）≥47dB，卧室分户楼板的撞击声隔声性能（计权标准化撞击声压级L'nT,w）≤60dB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64%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1.23%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192.0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62.0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总得分：Q=（Q0+Q1+Q2+Q3+Q4+Q5+QA）/10=97.7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78264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78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