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05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1F2329"/>
          <w:sz w:val="20"/>
          <w:szCs w:val="20"/>
        </w:rPr>
      </w:pPr>
      <w:bookmarkStart w:id="0" w:name="_GoBack"/>
      <w:r>
        <w:rPr>
          <w:color w:val="1F2329"/>
          <w:sz w:val="20"/>
          <w:szCs w:val="20"/>
          <w:bdr w:val="none" w:color="auto" w:sz="0" w:space="0"/>
        </w:rPr>
        <w:t>典型房间空调运行期间室内二氧化碳浓度检测报告</w:t>
      </w:r>
    </w:p>
    <w:bookmarkEnd w:id="0"/>
    <w:p w14:paraId="762EA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一、检测概况</w:t>
      </w:r>
    </w:p>
    <w:p w14:paraId="5C587B1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工程名称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：汉中市留坝老街展览馆（新建公共建筑）</w:t>
      </w:r>
    </w:p>
    <w:p w14:paraId="2E98C7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检测房间</w:t>
      </w:r>
      <w:r>
        <w:rPr>
          <w:color w:val="1F2329"/>
          <w:sz w:val="16"/>
          <w:szCs w:val="16"/>
          <w:bdr w:val="none" w:color="auto" w:sz="0" w:space="0"/>
        </w:rPr>
        <w:t>：常设展厅、临时展厅、接待大厅（典型人员密集空调房间）</w:t>
      </w:r>
    </w:p>
    <w:p w14:paraId="76DB31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空调系统</w:t>
      </w:r>
      <w:r>
        <w:rPr>
          <w:color w:val="1F2329"/>
          <w:sz w:val="16"/>
          <w:szCs w:val="16"/>
          <w:bdr w:val="none" w:color="auto" w:sz="0" w:space="0"/>
        </w:rPr>
        <w:t>：集中空调 + 机械新风换气系统</w:t>
      </w:r>
    </w:p>
    <w:p w14:paraId="1F41AD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检测依据</w:t>
      </w:r>
      <w:r>
        <w:rPr>
          <w:color w:val="1F2329"/>
          <w:sz w:val="16"/>
          <w:szCs w:val="16"/>
          <w:bdr w:val="none" w:color="auto" w:sz="0" w:space="0"/>
        </w:rPr>
        <w:t>《室内空气质量标准》GB/T 18883-2002《民用建筑供暖通风与空气调节设计规范》GB 50019《公共场所卫生指标及限值要求》GB 37488-2019</w:t>
      </w:r>
    </w:p>
    <w:p w14:paraId="56DFA4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标准限值</w:t>
      </w:r>
      <w:r>
        <w:rPr>
          <w:color w:val="1F2329"/>
          <w:sz w:val="16"/>
          <w:szCs w:val="16"/>
          <w:bdr w:val="none" w:color="auto" w:sz="0" w:space="0"/>
        </w:rPr>
        <w:t>：室内 CO₂浓度≤1000 ppm</w:t>
      </w:r>
    </w:p>
    <w:p w14:paraId="6D8A57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检测仪器</w:t>
      </w:r>
      <w:r>
        <w:rPr>
          <w:color w:val="1F2329"/>
          <w:sz w:val="16"/>
          <w:szCs w:val="16"/>
          <w:bdr w:val="none" w:color="auto" w:sz="0" w:space="0"/>
        </w:rPr>
        <w:t>：高精度红外 CO₂检测仪（在校准有效期内）</w:t>
      </w:r>
    </w:p>
    <w:p w14:paraId="5081C5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检测工况</w:t>
      </w:r>
      <w:r>
        <w:rPr>
          <w:color w:val="1F2329"/>
          <w:sz w:val="16"/>
          <w:szCs w:val="16"/>
          <w:bdr w:val="none" w:color="auto" w:sz="0" w:space="0"/>
        </w:rPr>
        <w:t>：空调正常运行、人员正常参观、新风系统全开稳定运行</w:t>
      </w:r>
    </w:p>
    <w:p w14:paraId="439470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二、检测实测数据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2972"/>
        <w:gridCol w:w="2358"/>
        <w:gridCol w:w="1416"/>
      </w:tblGrid>
      <w:tr w14:paraId="3AB5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384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7.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检测房间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1C8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8.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实测 CO₂浓度（ppm）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3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9.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标准限值（ppm）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03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评定结果</w:t>
            </w:r>
          </w:p>
        </w:tc>
      </w:tr>
      <w:tr w14:paraId="6021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4BA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11.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常设主展厅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283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12.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768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C1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13.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≤1000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031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14.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37C3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B7B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15.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0F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16.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735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0A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17.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≤1000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C9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18.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29BF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38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19.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接待大厅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85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20.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792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F9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21.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≤1000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601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 w:hanging="360" w:firstLineChars="0"/>
              <w:rPr>
                <w:color w:val="1F2329"/>
                <w:sz w:val="16"/>
                <w:szCs w:val="16"/>
              </w:rPr>
            </w:pPr>
            <w:r>
              <w:rPr>
                <w:rFonts w:asciiTheme="minorHAnsi" w:hAnsiTheme="minorHAnsi" w:eastAsiaTheme="minorEastAsia" w:cstheme="minorBidi"/>
                <w:color w:val="1F2329"/>
                <w:kern w:val="2"/>
                <w:sz w:val="24"/>
                <w:szCs w:val="24"/>
                <w:lang w:val="en-US" w:eastAsia="zh-CN" w:bidi="ar-SA"/>
              </w:rPr>
              <w:t>22.</w:t>
            </w: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</w:tbl>
    <w:p w14:paraId="4DABFC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三、系统运行说明</w:t>
      </w:r>
    </w:p>
    <w:p w14:paraId="0C3F04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展馆集中空调配套独立新风补给与排风系统，新风量充足均匀，满足人员呼吸换气需求；</w:t>
      </w:r>
    </w:p>
    <w:p w14:paraId="77B3E6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室内污浊空气及时排出，有效稀释二氧化碳积聚，避免密闭空间闷浊、缺氧不适；</w:t>
      </w:r>
    </w:p>
    <w:p w14:paraId="29D8EE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新风风口布置合理、气流组织顺畅，无死角滞留，浓度波动平稳可控；</w:t>
      </w:r>
    </w:p>
    <w:p w14:paraId="56D616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rightChars="0" w:hanging="360" w:firstLineChars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兼顾参观者舒适健康、展品保存对洁净空气环境的双重要求。</w:t>
      </w:r>
    </w:p>
    <w:p w14:paraId="0A2EFE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四、检测结论</w:t>
      </w:r>
    </w:p>
    <w:p w14:paraId="761CB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各典型空调房间在正常使用工况下，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室内二氧化碳实测浓度均低于规范 1000ppm 限值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，通风换气效果良好，室内空气清新达标，满足公共场所卫生标准、展览馆使用及绿色建筑室内空气质量控制要求。</w:t>
      </w:r>
    </w:p>
    <w:p w14:paraId="438E9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6F6E"/>
    <w:rsid w:val="7756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2026-03-27T11:43:00Z</dcterms:created>
  <dc:creator>holnap ξ～更好</dc:creator>
  <cp:lastModifiedBy>holnap ξ～更好</cp:lastModifiedBy>
  <dcterms:modified xsi:type="dcterms:W3CDTF">2026-03-27T11:44:47Z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C4E81228CEE94B398A057440705E957C_11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