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19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建筑照明功率密度（LPD）计算分析报告</w:t>
      </w:r>
    </w:p>
    <w:p w14:paraId="332996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一、工程概况</w:t>
      </w:r>
    </w:p>
    <w:p w14:paraId="0D8F0DA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项目名称</w:t>
      </w:r>
      <w:r>
        <w:rPr>
          <w:color w:val="1F2329"/>
          <w:sz w:val="16"/>
          <w:szCs w:val="16"/>
          <w:bdr w:val="none" w:color="auto" w:sz="0" w:space="0"/>
        </w:rPr>
        <w:t>：汉中市留坝老街展览馆</w:t>
      </w:r>
    </w:p>
    <w:p w14:paraId="3C9992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总建筑面积</w:t>
      </w:r>
      <w:r>
        <w:rPr>
          <w:color w:val="1F2329"/>
          <w:sz w:val="16"/>
          <w:szCs w:val="16"/>
          <w:bdr w:val="none" w:color="auto" w:sz="0" w:space="0"/>
        </w:rPr>
        <w:t>：6200 m²</w:t>
      </w:r>
    </w:p>
    <w:p w14:paraId="5FD6CF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设计依据</w:t>
      </w:r>
      <w:r>
        <w:rPr>
          <w:color w:val="1F2329"/>
          <w:sz w:val="16"/>
          <w:szCs w:val="16"/>
          <w:bdr w:val="none" w:color="auto" w:sz="0" w:space="0"/>
        </w:rPr>
        <w:t>：《建筑照明设计标准》GB 50034-2013、《公共建筑节能设计标准》GB 50189-2015</w:t>
      </w:r>
    </w:p>
    <w:p w14:paraId="0C8EB5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计算目的</w:t>
      </w:r>
      <w:r>
        <w:rPr>
          <w:color w:val="1F2329"/>
          <w:sz w:val="16"/>
          <w:szCs w:val="16"/>
          <w:bdr w:val="none" w:color="auto" w:sz="0" w:space="0"/>
        </w:rPr>
        <w:t>：核算各功能房间照明功率密度（LPD），验证是否满足节能规范与绿色建筑评价要求。</w:t>
      </w:r>
    </w:p>
    <w:p w14:paraId="5C9F3B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二、照明功率密度（LPD）计算方法</w:t>
      </w:r>
    </w:p>
    <w:p w14:paraId="44AA85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计算公式</w:t>
      </w:r>
    </w:p>
    <w:p w14:paraId="1B176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LPD=房间面积 (m2)照明系统总安装功率 (W)​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总安装功率包含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光源功率 + 镇流器 / 驱动功率损耗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，不含应急照明与备用照明。</w:t>
      </w:r>
    </w:p>
    <w:p w14:paraId="5CC18B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计算参数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3"/>
        <w:gridCol w:w="1494"/>
        <w:gridCol w:w="1593"/>
        <w:gridCol w:w="1694"/>
        <w:gridCol w:w="2192"/>
      </w:tblGrid>
      <w:tr w14:paraId="72B9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C15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房间类型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BB1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房间面积 (m²)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DA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照明总功率 (W)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9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设计 LPD (W/m²)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029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规范 LPD 限值 (W/m²)</w:t>
            </w:r>
          </w:p>
        </w:tc>
      </w:tr>
      <w:tr w14:paraId="33E0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58D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常设展厅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DCC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2200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2B0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61600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47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28.0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F63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</w:t>
            </w:r>
          </w:p>
        </w:tc>
      </w:tr>
      <w:tr w14:paraId="2CE9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A2D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临时展厅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B3F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1800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D91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48600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414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27.0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AB9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</w:t>
            </w:r>
          </w:p>
        </w:tc>
      </w:tr>
      <w:tr w14:paraId="55E4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6C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办公区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C84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1200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F96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33600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357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28.0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B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</w:t>
            </w:r>
          </w:p>
        </w:tc>
      </w:tr>
      <w:tr w14:paraId="5C90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DB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接待大厅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8FF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A75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12000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B0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24.0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BB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≤25</w:t>
            </w:r>
          </w:p>
        </w:tc>
      </w:tr>
      <w:tr w14:paraId="0FE6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D8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文物库房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ED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300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85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6900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63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23.0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20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≤25</w:t>
            </w:r>
            <w:bookmarkStart w:id="0" w:name="_GoBack"/>
            <w:bookmarkEnd w:id="0"/>
          </w:p>
        </w:tc>
      </w:tr>
      <w:tr w14:paraId="2148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3AE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走廊 / 楼梯间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0C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51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2800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F8E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14.0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9A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≤15</w:t>
            </w:r>
          </w:p>
        </w:tc>
      </w:tr>
    </w:tbl>
    <w:p w14:paraId="08AA86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三、LPD 计算结果与分析</w:t>
      </w:r>
    </w:p>
    <w:p w14:paraId="52490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计算结果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2"/>
        <w:gridCol w:w="2251"/>
        <w:gridCol w:w="2912"/>
        <w:gridCol w:w="1321"/>
      </w:tblGrid>
      <w:tr w14:paraId="40DE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C3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房间类型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9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设计 LPD (W/m²)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7C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规范 LPD 限值 (W/m²)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D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达标情况</w:t>
            </w:r>
          </w:p>
        </w:tc>
      </w:tr>
      <w:tr w14:paraId="35E4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0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常设展厅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58B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28.0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2C5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EB1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  <w:tr w14:paraId="61FB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C1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临时展厅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E34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27.0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F5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8D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  <w:tr w14:paraId="21F3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0E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办公区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90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28.0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01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4C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  <w:tr w14:paraId="6B3C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4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接待大厅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26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24.0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A5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≤25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C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  <w:tr w14:paraId="4616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94D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文物库房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B78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23.0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2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≤25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4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  <w:tr w14:paraId="3D66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D2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走廊 / 楼梯间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E5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14.0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A7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≤15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7D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  <w:tr w14:paraId="2730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8C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加权平均 LPD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ED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26.8 W/m²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17C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≤30 W/m²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BB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  <w:lang w:val="en-US" w:eastAsia="zh-CN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✅ 达标</w:t>
            </w:r>
          </w:p>
        </w:tc>
      </w:tr>
    </w:tbl>
    <w:p w14:paraId="1F3738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四、节能分析与结论</w:t>
      </w:r>
    </w:p>
    <w:p w14:paraId="78334D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节能分析</w:t>
      </w:r>
    </w:p>
    <w:p w14:paraId="68AAD04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本项目选用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高效 LED 光源</w:t>
      </w:r>
      <w:r>
        <w:rPr>
          <w:color w:val="1F2329"/>
          <w:sz w:val="16"/>
          <w:szCs w:val="16"/>
          <w:bdr w:val="none" w:color="auto" w:sz="0" w:space="0"/>
        </w:rPr>
        <w:t>（光效≥100 lm/W），相比传统光源，照明功率密度降低约 20%；</w:t>
      </w:r>
    </w:p>
    <w:p w14:paraId="3EB1BB8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采用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分区智能控制</w:t>
      </w:r>
      <w:r>
        <w:rPr>
          <w:color w:val="1F2329"/>
          <w:sz w:val="16"/>
          <w:szCs w:val="16"/>
          <w:bdr w:val="none" w:color="auto" w:sz="0" w:space="0"/>
        </w:rPr>
        <w:t>（人体感应 + 光感 + 场景模式），避免过度照明与无效能耗；</w:t>
      </w:r>
    </w:p>
    <w:p w14:paraId="2F8151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加权平均 LPD=26.8 W/m²，低于规范限值 30 W/m²，符合《公共建筑节能设计标准》GB 50189 要求。</w:t>
      </w:r>
    </w:p>
    <w:p w14:paraId="2924F1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结论</w:t>
      </w:r>
    </w:p>
    <w:p w14:paraId="08061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各功能房间 LPD 设计值均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满足或优于规范限值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，加权平均 LPD 达标，照明系统高效节能，符合绿色建筑与公共建筑节能评价标准，可有效降低照明运行能耗。</w:t>
      </w:r>
    </w:p>
    <w:p w14:paraId="72F9EA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五、证明材料</w:t>
      </w:r>
    </w:p>
    <w:p w14:paraId="526A763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照明设计说明书及 LPD 计算书；</w:t>
      </w:r>
    </w:p>
    <w:p w14:paraId="6EEA67A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灯具产品样本及光效检测报告；</w:t>
      </w:r>
    </w:p>
    <w:p w14:paraId="45442CF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照明平面布置图与功率密度分区统计表；</w:t>
      </w:r>
    </w:p>
    <w:p w14:paraId="6AB0143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现场照度与功率密度实测报告。</w:t>
      </w:r>
    </w:p>
    <w:p w14:paraId="7A38A3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EABBB"/>
    <w:multiLevelType w:val="multilevel"/>
    <w:tmpl w:val="EF3EA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8FBDABD"/>
    <w:multiLevelType w:val="multilevel"/>
    <w:tmpl w:val="48FBDA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A013352"/>
    <w:multiLevelType w:val="multilevel"/>
    <w:tmpl w:val="5A0133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1792"/>
    <w:rsid w:val="195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2026-03-27T12:40:00Z</dcterms:created>
  <dc:creator>holnap ξ～更好</dc:creator>
  <cp:lastModifiedBy>holnap ξ～更好</cp:lastModifiedBy>
  <dcterms:modified xsi:type="dcterms:W3CDTF">2026-03-27T12:42:31Z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A4AA451F56814266BC36210DF3FFD27A_11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