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05BB5">
      <w:pPr>
        <w:pStyle w:val="2"/>
        <w:keepNext w:val="0"/>
        <w:keepLines w:val="0"/>
        <w:widowControl/>
        <w:suppressLineNumbers w:val="0"/>
      </w:pPr>
      <w:r>
        <w:rPr>
          <w:b/>
          <w:bCs/>
        </w:rPr>
        <w:t>一、编制目的与标准依据</w:t>
      </w:r>
      <w:r>
        <w:t>本报告旨在贯彻国家“碳达峰、碳中和”宏观战略，在方案与初步设计阶段，对“青衿·筑境”综合展览馆进行前置性的碳排放评估与减排策略规划。评估边界涵盖建筑的</w:t>
      </w:r>
      <w:r>
        <w:rPr>
          <w:b/>
          <w:bCs/>
        </w:rPr>
        <w:t>全生命周期（LCA），</w:t>
      </w:r>
      <w:r>
        <w:t>严格依据《建筑碳排放计算标准》（GB/T 51366-2019）及《绿色建筑评价标准》（GB/T 50378-2019），从建材生产运输（隐含碳）、建筑运行（运行碳）及建筑固碳（碳汇）三个维度开展分析与优化。</w:t>
      </w:r>
    </w:p>
    <w:p w14:paraId="5AF0354D">
      <w:pPr>
        <w:pStyle w:val="2"/>
        <w:keepNext w:val="0"/>
        <w:keepLines w:val="0"/>
        <w:widowControl/>
        <w:suppressLineNumbers w:val="0"/>
      </w:pPr>
      <w:r>
        <w:rPr>
          <w:b/>
          <w:bCs/>
        </w:rPr>
        <w:t>二、建筑全生命周期碳排放计算框架分析</w:t>
      </w:r>
      <w:r>
        <w:t>结合本展览馆的设计特征，碳排放计算的核心框架分为以下三大板块：</w:t>
      </w:r>
    </w:p>
    <w:p w14:paraId="5DC27E82">
      <w:pPr>
        <w:pStyle w:val="2"/>
        <w:keepNext w:val="0"/>
        <w:keepLines w:val="0"/>
        <w:widowControl/>
        <w:suppressLineNumbers w:val="0"/>
        <w:ind w:left="720"/>
      </w:pPr>
      <w:r>
        <w:rPr>
          <w:b/>
          <w:bCs/>
        </w:rPr>
        <w:t>建材隐含碳排放计算（Embodied Carbon）：</w:t>
      </w:r>
    </w:p>
    <w:p w14:paraId="69CF8E2D">
      <w:pPr>
        <w:pStyle w:val="2"/>
        <w:keepNext w:val="0"/>
        <w:keepLines w:val="0"/>
        <w:widowControl/>
        <w:suppressLineNumbers w:val="0"/>
        <w:ind w:left="1440"/>
      </w:pPr>
      <w:r>
        <w:rPr>
          <w:b/>
          <w:bCs/>
        </w:rPr>
        <w:t>测算内容：</w:t>
      </w:r>
      <w:r>
        <w:t>主要测算建筑主体结构（白色钢结构、混凝土基座）、围护结构（大面积玻璃幕墙、砌体墙）以及装饰材料（木纹格栅、传统砖石）在生产和运输阶段的碳排放总量。</w:t>
      </w:r>
    </w:p>
    <w:p w14:paraId="034FF9DC">
      <w:pPr>
        <w:pStyle w:val="2"/>
        <w:keepNext w:val="0"/>
        <w:keepLines w:val="0"/>
        <w:widowControl/>
        <w:suppressLineNumbers w:val="0"/>
        <w:ind w:left="1440"/>
      </w:pPr>
      <w:r>
        <w:rPr>
          <w:b/>
          <w:bCs/>
        </w:rPr>
        <w:t>数据模型：</w:t>
      </w:r>
      <w:r>
        <w:t>需结合BIM模型导出主要建材工程量清单，乘以相应建材的碳排放因子（如：CM​=∑(Mi​×Fi​)，其中Mi​为材料消耗量，Fi​为碳排放因子）。</w:t>
      </w:r>
    </w:p>
    <w:p w14:paraId="16E12917">
      <w:pPr>
        <w:pStyle w:val="2"/>
        <w:keepNext w:val="0"/>
        <w:keepLines w:val="0"/>
        <w:widowControl/>
        <w:suppressLineNumbers w:val="0"/>
        <w:ind w:left="720"/>
      </w:pPr>
      <w:r>
        <w:rPr>
          <w:b/>
          <w:bCs/>
        </w:rPr>
        <w:t>建筑运行碳排放计算（Operational Carbon）：</w:t>
      </w:r>
    </w:p>
    <w:p w14:paraId="1FA555F2">
      <w:pPr>
        <w:pStyle w:val="2"/>
        <w:keepNext w:val="0"/>
        <w:keepLines w:val="0"/>
        <w:widowControl/>
        <w:suppressLineNumbers w:val="0"/>
        <w:ind w:left="1440"/>
      </w:pPr>
      <w:r>
        <w:rPr>
          <w:b/>
          <w:bCs/>
        </w:rPr>
        <w:t>测算内容：</w:t>
      </w:r>
      <w:r>
        <w:t>涵盖展览馆全年的暖通空调（HVAC）、展陈照明、动力设备、电梯及给排水系统的能耗折算碳排放。这是全生命周期中碳排放占比最大的部分（通常占60%以上）。</w:t>
      </w:r>
    </w:p>
    <w:p w14:paraId="7A78276D">
      <w:pPr>
        <w:pStyle w:val="2"/>
        <w:keepNext w:val="0"/>
        <w:keepLines w:val="0"/>
        <w:widowControl/>
        <w:suppressLineNumbers w:val="0"/>
        <w:ind w:left="1440"/>
      </w:pPr>
      <w:r>
        <w:rPr>
          <w:b/>
          <w:bCs/>
        </w:rPr>
        <w:t>数据模型：</w:t>
      </w:r>
      <w:r>
        <w:t>依托斯维尔（Sware）等能耗模拟软件，输入本地典型气象年数据、围护结构热工参数及作息时间表，计算出全年总耗电量，再乘以区域电网平均碳排放因子。</w:t>
      </w:r>
    </w:p>
    <w:p w14:paraId="0751EAB1">
      <w:pPr>
        <w:pStyle w:val="2"/>
        <w:keepNext w:val="0"/>
        <w:keepLines w:val="0"/>
        <w:widowControl/>
        <w:suppressLineNumbers w:val="0"/>
        <w:ind w:left="720"/>
      </w:pPr>
      <w:r>
        <w:rPr>
          <w:b/>
          <w:bCs/>
        </w:rPr>
        <w:t>建筑固碳量计算（碳汇）：</w:t>
      </w:r>
    </w:p>
    <w:p w14:paraId="59771935">
      <w:pPr>
        <w:pStyle w:val="2"/>
        <w:keepNext w:val="0"/>
        <w:keepLines w:val="0"/>
        <w:widowControl/>
        <w:suppressLineNumbers w:val="0"/>
        <w:ind w:left="1440"/>
      </w:pPr>
      <w:r>
        <w:rPr>
          <w:b/>
          <w:bCs/>
        </w:rPr>
        <w:t>测算内容：</w:t>
      </w:r>
      <w:r>
        <w:t>量化场地内及退台屋面上的植被在全生命周期内吸收并固定二氧化碳的量。</w:t>
      </w:r>
    </w:p>
    <w:p w14:paraId="238EA95D">
      <w:pPr>
        <w:pStyle w:val="2"/>
        <w:keepNext w:val="0"/>
        <w:keepLines w:val="0"/>
        <w:widowControl/>
        <w:suppressLineNumbers w:val="0"/>
      </w:pPr>
      <w:r>
        <w:rPr>
          <w:b/>
          <w:bCs/>
        </w:rPr>
        <w:t>三、核心碳减排措施与绿色技术体系</w:t>
      </w:r>
      <w:r>
        <w:t>为了极大限度地压降上述计算得出的碳排放总量，本项目在设计端实施了以下</w:t>
      </w:r>
      <w:bookmarkStart w:id="0" w:name="_GoBack"/>
      <w:bookmarkEnd w:id="0"/>
      <w:r>
        <w:t>“一减、二替、三固”的综合减排措施：</w:t>
      </w:r>
    </w:p>
    <w:p w14:paraId="48A024A3">
      <w:pPr>
        <w:pStyle w:val="2"/>
        <w:keepNext w:val="0"/>
        <w:keepLines w:val="0"/>
        <w:widowControl/>
        <w:suppressLineNumbers w:val="0"/>
      </w:pPr>
      <w:r>
        <w:rPr>
          <w:b/>
          <w:bCs/>
        </w:rPr>
        <w:t>1.极小化运行能耗：被动式设计减排（降本）</w:t>
      </w:r>
    </w:p>
    <w:p w14:paraId="325B7820">
      <w:pPr>
        <w:pStyle w:val="2"/>
        <w:keepNext w:val="0"/>
        <w:keepLines w:val="0"/>
        <w:widowControl/>
        <w:suppressLineNumbers w:val="0"/>
        <w:ind w:left="720"/>
      </w:pPr>
      <w:r>
        <w:rPr>
          <w:b/>
          <w:bCs/>
        </w:rPr>
        <w:t>蓄热墙（Trombe Wall）系统：</w:t>
      </w:r>
      <w:r>
        <w:t>在局部实墙面引入被动式蓄热墙构造。冬季利用太阳辐射加热空气腔，通过热压对流向室内供暖；夏季结合遮阳与通风排热。该技术有效降低了过渡季和冬季的机械空调采暖能耗。</w:t>
      </w:r>
    </w:p>
    <w:p w14:paraId="5D3B0933">
      <w:pPr>
        <w:pStyle w:val="2"/>
        <w:keepNext w:val="0"/>
        <w:keepLines w:val="0"/>
        <w:widowControl/>
        <w:suppressLineNumbers w:val="0"/>
        <w:ind w:left="720"/>
      </w:pPr>
      <w:r>
        <w:rPr>
          <w:b/>
          <w:bCs/>
        </w:rPr>
        <w:t>中庭拔风与自然采光：</w:t>
      </w:r>
      <w:r>
        <w:t>展览馆中部的多层挑空中庭结合顶部玻璃穹顶，不仅最大化引入自然光（大幅削减白天展区基础照明能耗），更利用热压效应形成“拔风井”，促进室内自然通风，减少空调送风能耗。</w:t>
      </w:r>
    </w:p>
    <w:p w14:paraId="71F6AFCE">
      <w:pPr>
        <w:pStyle w:val="2"/>
        <w:keepNext w:val="0"/>
        <w:keepLines w:val="0"/>
        <w:widowControl/>
        <w:suppressLineNumbers w:val="0"/>
        <w:ind w:left="720"/>
      </w:pPr>
      <w:r>
        <w:rPr>
          <w:b/>
          <w:bCs/>
        </w:rPr>
        <w:t>自遮阳系统：</w:t>
      </w:r>
      <w:r>
        <w:t>建筑立面外挂的木质/金属竖向格栅，根据太阳高度角进行了密度计算，形成了高效的固定外遮阳，显著降低了夏季的空调冷负荷。</w:t>
      </w:r>
    </w:p>
    <w:p w14:paraId="174A7142">
      <w:pPr>
        <w:pStyle w:val="2"/>
        <w:keepNext w:val="0"/>
        <w:keepLines w:val="0"/>
        <w:widowControl/>
        <w:suppressLineNumbers w:val="0"/>
      </w:pPr>
      <w:r>
        <w:rPr>
          <w:b/>
          <w:bCs/>
        </w:rPr>
        <w:t>2.降低隐含碳排放：低碳建材与循环利用（节源）</w:t>
      </w:r>
    </w:p>
    <w:p w14:paraId="473F9313">
      <w:pPr>
        <w:pStyle w:val="2"/>
        <w:keepNext w:val="0"/>
        <w:keepLines w:val="0"/>
        <w:widowControl/>
        <w:suppressLineNumbers w:val="0"/>
        <w:ind w:left="720"/>
      </w:pPr>
      <w:r>
        <w:rPr>
          <w:b/>
          <w:bCs/>
        </w:rPr>
        <w:t>本土化传统建材：</w:t>
      </w:r>
      <w:r>
        <w:t>提取并延续传统建筑的“砖和木”元素。相比于全钢筋混凝土结构，大量使用本土采购的实木格栅、塑木（WPC）及回收烧结砖，大幅降低了建材生产和长途运输过程中的隐含碳排放。</w:t>
      </w:r>
    </w:p>
    <w:p w14:paraId="00283028">
      <w:pPr>
        <w:pStyle w:val="2"/>
        <w:keepNext w:val="0"/>
        <w:keepLines w:val="0"/>
        <w:widowControl/>
        <w:suppressLineNumbers w:val="0"/>
        <w:ind w:left="720"/>
      </w:pPr>
      <w:r>
        <w:rPr>
          <w:b/>
          <w:bCs/>
        </w:rPr>
        <w:t>非传统水源利用：</w:t>
      </w:r>
      <w:r>
        <w:t>结合退台屋面建立完整的雨水收集、过滤与中水回用系统。雨水就地消纳并用于多层屋顶花园的微滴灌，减少了市政自来水的消耗量及其背后的制水碳排放。</w:t>
      </w:r>
    </w:p>
    <w:p w14:paraId="2DE44C54">
      <w:pPr>
        <w:pStyle w:val="2"/>
        <w:keepNext w:val="0"/>
        <w:keepLines w:val="0"/>
        <w:widowControl/>
        <w:suppressLineNumbers w:val="0"/>
      </w:pPr>
      <w:r>
        <w:rPr>
          <w:b/>
          <w:bCs/>
        </w:rPr>
        <w:t>3.提升场地碳汇：立体生态包裹（增汇）</w:t>
      </w:r>
    </w:p>
    <w:p w14:paraId="7FFFBC2A">
      <w:pPr>
        <w:pStyle w:val="2"/>
        <w:keepNext w:val="0"/>
        <w:keepLines w:val="0"/>
        <w:widowControl/>
        <w:suppressLineNumbers w:val="0"/>
        <w:ind w:left="720"/>
      </w:pPr>
      <w:r>
        <w:rPr>
          <w:b/>
          <w:bCs/>
        </w:rPr>
        <w:t>多维立体绿化：</w:t>
      </w:r>
      <w:r>
        <w:t>打破传统建筑仅有地面绿化的局限，在12.500至19.300的各个标高退台均设置了密集型与粗放型结合的</w:t>
      </w:r>
      <w:r>
        <w:rPr>
          <w:b/>
          <w:bCs/>
        </w:rPr>
        <w:t>屋顶花园</w:t>
      </w:r>
      <w:r>
        <w:t>，并在立面布置垂直绿化。</w:t>
      </w:r>
    </w:p>
    <w:p w14:paraId="560F8D32">
      <w:pPr>
        <w:pStyle w:val="2"/>
        <w:keepNext w:val="0"/>
        <w:keepLines w:val="0"/>
        <w:widowControl/>
        <w:suppressLineNumbers w:val="0"/>
        <w:ind w:left="720"/>
      </w:pPr>
      <w:r>
        <w:rPr>
          <w:b/>
          <w:bCs/>
        </w:rPr>
        <w:t>固碳效益：</w:t>
      </w:r>
      <w:r>
        <w:t>大面积的景天科植物、花灌木及小乔木构成了微型森林生态系统，直接吸收并固定大气中的二氧化碳。同时，覆土层极大地改善了屋面热工性能，间接降低了顶层房间的空调能耗。</w:t>
      </w:r>
    </w:p>
    <w:p w14:paraId="3E80F07A">
      <w:pPr>
        <w:pStyle w:val="2"/>
        <w:keepNext w:val="0"/>
        <w:keepLines w:val="0"/>
        <w:widowControl/>
        <w:suppressLineNumbers w:val="0"/>
      </w:pPr>
      <w:r>
        <w:rPr>
          <w:b/>
          <w:bCs/>
        </w:rPr>
        <w:t>4.能源替代潜能：光伏建筑一体化（BIPV）预留（开源）</w:t>
      </w:r>
    </w:p>
    <w:p w14:paraId="2FB07BCE">
      <w:pPr>
        <w:pStyle w:val="2"/>
        <w:keepNext w:val="0"/>
        <w:keepLines w:val="0"/>
        <w:widowControl/>
        <w:suppressLineNumbers w:val="0"/>
        <w:ind w:left="720"/>
      </w:pPr>
      <w:r>
        <w:t>设计在日照条件最优的最高层平屋面及局部朝南的廊架顶部，预留了分布式太阳能光伏板的安装接口。未来可实现清洁电力的“自发自用”，直接抵消建筑运行阶段的网电碳排放。</w:t>
      </w:r>
    </w:p>
    <w:p w14:paraId="25BEAD6E">
      <w:pPr>
        <w:pStyle w:val="2"/>
        <w:keepNext w:val="0"/>
        <w:keepLines w:val="0"/>
        <w:widowControl/>
        <w:suppressLineNumbers w:val="0"/>
      </w:pPr>
      <w:r>
        <w:rPr>
          <w:b/>
          <w:bCs/>
        </w:rPr>
        <w:t>四、综合评估结论</w:t>
      </w:r>
      <w:r>
        <w:t>“青衿·筑境”综合展览馆并非仅仅堆砌节能设备，而是从空间形态发生之初，便将</w:t>
      </w:r>
      <w:r>
        <w:rPr>
          <w:b/>
          <w:bCs/>
        </w:rPr>
        <w:t>气候适应性</w:t>
      </w:r>
      <w:r>
        <w:t>与</w:t>
      </w:r>
      <w:r>
        <w:rPr>
          <w:b/>
          <w:bCs/>
        </w:rPr>
        <w:t>被动式节能</w:t>
      </w:r>
      <w:r>
        <w:t>融入建筑基因。通过“本土低碳建材+蓄热墙与中庭被动节能+立体绿化碳汇+水资源循环”的闭环策略，项目在全生命周期的隐含碳与运行碳排放上均做到了深度压降，是一次极具示范意义的“双碳”目标建筑实践。</w:t>
      </w:r>
    </w:p>
    <w:p w14:paraId="7A8A70AA">
      <w:pPr>
        <w:pStyle w:val="2"/>
        <w:keepNext w:val="0"/>
        <w:keepLines w:val="0"/>
        <w:widowControl/>
        <w:suppressLineNumbers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5696D"/>
    <w:rsid w:val="0265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2026-03-26T13:09:00Z</dcterms:created>
  <dc:creator>holnap ξ～更好</dc:creator>
  <cp:lastModifiedBy>holnap ξ～更好</cp:lastModifiedBy>
  <dcterms:modified xsi:type="dcterms:W3CDTF">2026-03-26T13:10:44Z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90BE65CE942C4D5B9EDAD0082553438A_11</vt:lpwstr>
  </property>
  <property fmtid="{D5CDD505-2E9C-101B-9397-08002B2CF9AE}" pid="4" name="KSOTemplateDocerSaveRecord">
    <vt:lpwstr>eyJoZGlkIjoiOWQ3ZjQ5ODllNzc5ZmQyYWVkNzk2OTBjNzc2YjE5N2YiLCJ1c2VySWQiOiI4MDU3MzY5MTIifQ==</vt:lpwstr>
  </property>
</Properties>
</file>