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D0DC7">
      <w:pPr>
        <w:pStyle w:val="2"/>
        <w:keepNext w:val="0"/>
        <w:keepLines w:val="0"/>
        <w:widowControl/>
        <w:suppressLineNumbers w:val="0"/>
      </w:pPr>
      <w:r>
        <w:t>汉中市留坝老街展览馆室内空气质量检测报告</w:t>
      </w:r>
      <w:bookmarkStart w:id="0" w:name="_GoBack"/>
      <w:bookmarkEnd w:id="0"/>
    </w:p>
    <w:p w14:paraId="21F8F644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一、检测概况</w:t>
      </w:r>
    </w:p>
    <w:p w14:paraId="1925C0E9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项目基本信息</w:t>
      </w:r>
    </w:p>
    <w:p w14:paraId="05479F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工程名称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：汉中市留坝老街展览馆</w:t>
      </w:r>
    </w:p>
    <w:p w14:paraId="3BD5F16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检测地点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：陕西省汉中市留坝县老街核心区展览馆内（常设展厅、临时展厅、接待区、文物库房、公共走廊）</w:t>
      </w:r>
    </w:p>
    <w:p w14:paraId="0F469BF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检测类型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：新建民用建筑工程室内环境验收检测（Ⅱ 类民用建筑）</w:t>
      </w:r>
    </w:p>
    <w:p w14:paraId="453FB9E0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检测目的</w:t>
      </w:r>
    </w:p>
    <w:p w14:paraId="229F7A6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验证展览馆室内空气中甲醛、苯、氨、总挥发性有机物（TVOC）、氡（Rn-222）等污染物浓度是否符合国家标准，保障展品保护、工作人员及参观群众的健康安全，为工程竣工验收提供依据。</w:t>
      </w:r>
    </w:p>
    <w:p w14:paraId="1783A6B5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检测依据</w:t>
      </w:r>
    </w:p>
    <w:p w14:paraId="289EDBB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《民用建筑工程室内环境污染控制标准》（GB 50325-2020）</w:t>
      </w:r>
    </w:p>
    <w:p w14:paraId="6CE89E5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《室内空气质量标准》（GB/T 18883-2002）</w:t>
      </w:r>
    </w:p>
    <w:p w14:paraId="2AB9ACB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《博物馆建筑设计规范》（JGJ 66-2015）</w:t>
      </w:r>
    </w:p>
    <w:p w14:paraId="361AC88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《陕西省爱国卫生条例》《咸阳市公共场所控制吸烟管理办法》</w:t>
      </w:r>
    </w:p>
    <w:p w14:paraId="558EE53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项目装修设计文件及材料环保承诺函</w:t>
      </w:r>
    </w:p>
    <w:p w14:paraId="7AC370FE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二、检测方案（原有内容不变）</w:t>
      </w:r>
    </w:p>
    <w:p w14:paraId="41A4D8B3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采样点布置</w:t>
      </w:r>
    </w:p>
    <w:p w14:paraId="076FE26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根据展馆功能分区及面积，按规范均匀布设采样点，避开通风口、墙角及障碍物，采样高度距地面 0.8-1.2m（与人呼吸带一致）：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000"/>
        <w:gridCol w:w="2000"/>
        <w:gridCol w:w="2000"/>
      </w:tblGrid>
      <w:tr w14:paraId="269D8AC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0269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检测区域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7A01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6EC5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采样点数（个）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8AB4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采样位置</w:t>
            </w:r>
          </w:p>
        </w:tc>
      </w:tr>
      <w:tr w14:paraId="10949FC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632E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常设展厅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55D2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A8E4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1866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展厅四角及中心区域</w:t>
            </w:r>
          </w:p>
        </w:tc>
      </w:tr>
      <w:tr w14:paraId="69C6E64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5E64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临时展厅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921E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CD79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B4E0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展厅对角区域</w:t>
            </w:r>
          </w:p>
        </w:tc>
      </w:tr>
      <w:tr w14:paraId="1D0080E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09BD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接待区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1135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B87F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6179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区域中心</w:t>
            </w:r>
          </w:p>
        </w:tc>
      </w:tr>
      <w:tr w14:paraId="228F8052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6083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文物库房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4229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6B40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C32F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库房两侧</w:t>
            </w:r>
          </w:p>
        </w:tc>
      </w:tr>
      <w:tr w14:paraId="7F34140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BBD2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公共走廊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E60E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831E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6A52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走廊两端及中部</w:t>
            </w:r>
          </w:p>
        </w:tc>
      </w:tr>
    </w:tbl>
    <w:p w14:paraId="03383BFA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检测条件</w:t>
      </w:r>
    </w:p>
    <w:p w14:paraId="201EA70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装修工程完工后通风 7 天，检测前关闭门窗 12 小时，保持室内温度 22℃、相对湿度 55%（与展厅日常运行环境一致）。</w:t>
      </w:r>
    </w:p>
    <w:p w14:paraId="6467E87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集中空调系统正常运行，确保气流均匀稳定。</w:t>
      </w:r>
    </w:p>
    <w:p w14:paraId="4F338698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检测项目与方法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000"/>
        <w:gridCol w:w="2000"/>
        <w:gridCol w:w="2000"/>
      </w:tblGrid>
      <w:tr w14:paraId="620B0B7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693C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23D2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检测方法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6F39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依据标准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8818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检测仪器</w:t>
            </w:r>
          </w:p>
        </w:tc>
      </w:tr>
      <w:tr w14:paraId="71B7BF7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E7FB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甲醛（HCHO）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6CC0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乙酰丙酮分光光度法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2345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GB/T 18204.26-2000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D0E0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分光光度计（722N 型）</w:t>
            </w:r>
          </w:p>
        </w:tc>
      </w:tr>
      <w:tr w14:paraId="441DA05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0434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苯（C₆H₆）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B20E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气相色谱法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7C98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 11737-1989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FDBE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气相色谱仪（GC-2014 型）</w:t>
            </w:r>
          </w:p>
        </w:tc>
      </w:tr>
      <w:tr w14:paraId="75C08620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0BF5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氨（NH₃）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2EDE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纳氏试剂比色法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41C6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GB/T 14668-1993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1448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分光光度计（722N 型）</w:t>
            </w:r>
          </w:p>
        </w:tc>
      </w:tr>
      <w:tr w14:paraId="0F0990D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EEED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总挥发性有机物（TVOC）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43F7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热解吸 / 气相色谱法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ADBE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 50325-2020 附录 G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AB59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气相色谱仪（GC-2014 型）</w:t>
            </w:r>
          </w:p>
        </w:tc>
      </w:tr>
      <w:tr w14:paraId="7E9429B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273F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氡（Rn-222）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1955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静电收集法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DA7B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GB/T 14582-1993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702A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测氡仪（FD-216 型）</w:t>
            </w:r>
          </w:p>
        </w:tc>
      </w:tr>
    </w:tbl>
    <w:p w14:paraId="11DB490A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三、检测结果与分析（原有内容不变）</w:t>
      </w:r>
    </w:p>
    <w:p w14:paraId="1EDF3E16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污染物浓度检测结果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1"/>
        <w:gridCol w:w="1638"/>
        <w:gridCol w:w="1854"/>
        <w:gridCol w:w="1638"/>
        <w:gridCol w:w="1545"/>
      </w:tblGrid>
      <w:tr w14:paraId="1D6E9DC4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DDEB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BA6F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001E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Ⅱ 类民用建筑限量值（GB 50325-2020）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E160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各区域检测结果平均值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894F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235A73CA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4CD9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甲醛（HCHO）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2019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9018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≤0.08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54F9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25B8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51F81B6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7A71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苯（C₆H₆）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21C2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F01B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≤0.06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11B4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F9FF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7779AA1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A4AF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氨（NH₃）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E359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20AD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≤0.20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34AC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993F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695F3B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07CF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总挥发性有机物（TVOC）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EE38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0677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≤0.50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6A9D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DFA1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D871946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531E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氡（Rn-222）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A47C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Bq/m³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EEB5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≤150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40D0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304E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70396386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结果分析</w:t>
      </w:r>
    </w:p>
    <w:p w14:paraId="24FFD0A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所有检测项目浓度均低于《民用建筑工程室内环境污染控制标准》（GB 50325-2020）中 Ⅱ 类民用建筑的限量要求，无超标污染物。</w:t>
      </w:r>
    </w:p>
    <w:p w14:paraId="0A21F6A0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甲醛、TVOC 浓度较低，得益于装修中选用低污染环保材料（如 A 级防火板、防腐实木、环保涂料），从源头控制了污染物释放。</w:t>
      </w:r>
    </w:p>
    <w:p w14:paraId="0DC9D3E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氡浓度符合标准，表明建筑地基及石材饰面（青石板、青砖）放射性水平达标，无额外辐射污染风险。</w:t>
      </w:r>
    </w:p>
    <w:p w14:paraId="48A270E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文物库房检测结果与展厅一致，稳定的空气质量可满足文物展品长期保存的温湿度及污染控制要求。</w:t>
      </w:r>
    </w:p>
    <w:p w14:paraId="64FDFA08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四、污染控制措施说明（补充禁烟相关内容）</w:t>
      </w:r>
    </w:p>
    <w:p w14:paraId="4664B46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源头控制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：装修主材均选用环保达标产品，木质构件（松木护墙板、门窗）经防腐处理且符合 E0 级环保标准，涂料、胶粘剂选用低 VOC（挥发性有机化合物）产品，并提供厂家环保检测报告。</w:t>
      </w:r>
    </w:p>
    <w:p w14:paraId="0246A62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通风净化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：展馆配备集中空调系统及机械排风装置，确保室内新风量≥30m³/（h・人），加速污染物扩散；文物库房增设空气净化设备，进一步过滤有害气体。</w:t>
      </w:r>
    </w:p>
    <w:p w14:paraId="0AF66B3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施工管控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：装修施工中避免不同材料混合堆放导致交叉污染，完工后预留充足通风散味时间，再进行检测验收。</w:t>
      </w:r>
    </w:p>
    <w:p w14:paraId="0DED9B0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控烟污染防控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：通过规范设置禁烟标志、划定禁烟区域，从源头减少烟草烟雾对室内空气质量的影响，具体设置情况如下：</w:t>
      </w:r>
    </w:p>
    <w:p w14:paraId="796C4DF5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6" w:lineRule="atLeast"/>
        <w:ind w:left="24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标识设计标准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：采用统一控烟标识系统，核心元素包含国际通用禁止吸烟符号（含传统卷烟及电子烟图形）、中英双语警示语 “禁止吸烟（NO SMOKING）”，标注投诉电话 12345 及 “违者个人最高罚款二百元” 罚则信息，材质选用与展馆风貌协调的防腐木质边框 + 亚克力面板，确保经久耐用。</w:t>
      </w:r>
    </w:p>
    <w:p w14:paraId="42E30CFF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6" w:lineRule="atLeast"/>
        <w:ind w:left="24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设置范围与密度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：室内全域为禁烟区域，按规范全覆盖设置标识：展馆主入口及各功能区入口显著位置设置大型禁烟公告牌；常设展厅（450㎡）设置 8 张标识，临时展厅（200㎡）设置 6 张标识，接待区（80㎡）设置 2 张标识，文物库房设置 2 张标识；公共走廊每隔 30m 设置 1 张，楼梯间各层拐角、公共电梯内均至少设置 1 张，确保无视觉盲区。</w:t>
      </w:r>
    </w:p>
    <w:p w14:paraId="626BDCD6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6" w:lineRule="atLeast"/>
        <w:ind w:left="24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安装规范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：标识安装高度距地面 1.5m（与人眼平齐，便于识别），采用悬挂式或嵌入式安装，不破坏历史风貌相关装修结构；室外区域在展馆出入口外侧 5m 范围内设置禁烟标识，同时在建筑西侧远离出入口及通风口（距离≥6m）的空旷区域设置室外吸烟点，配备吸烟点标识、引导标识及烟头收集设施，吸烟点内设置 “吸烟有害健康” 警示标识。</w:t>
      </w:r>
    </w:p>
    <w:p w14:paraId="02DAFA90">
      <w:pPr>
        <w:keepNext w:val="0"/>
        <w:keepLines w:val="0"/>
        <w:widowControl/>
        <w:numPr>
          <w:ilvl w:val="1"/>
          <w:numId w:val="2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16" w:lineRule="atLeast"/>
        <w:ind w:left="24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20"/>
          <w:szCs w:val="22"/>
          <w:bdr w:val="none" w:color="auto" w:sz="0" w:space="0"/>
        </w:rPr>
        <w:t>管理保障</w:t>
      </w: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：明确专人负责控烟管理，定期维护标识完整性，对违规吸烟行为及时劝阻，确保控烟措施落地见效。</w:t>
      </w:r>
    </w:p>
    <w:p w14:paraId="6874EFA9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五、综合结论（补充控烟相关结论）</w:t>
      </w:r>
    </w:p>
    <w:p w14:paraId="29FF897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汉中市留坝老街展览馆室内空气质量检测结果表明，甲醛、苯、氨、TVOC、氡等五项核心污染物浓度均符合《民用建筑工程室内环境污染控制标准》（GB 50325-2020）中 Ⅱ 类民用建筑的要求，空气质量达标。同时，展馆已按《陕西省爱国卫生条例》及公共场所控烟规范完成禁烟标志全覆盖设置，控烟措施完善，可有效避免烟草烟雾污染室内环境。展馆室内环境无毒、无害、无异常嗅味，既能保障参观群众及工作人员的健康安全，也能满足文物展品的长期保护需求，可投入使用。</w:t>
      </w:r>
    </w:p>
    <w:p w14:paraId="0F857686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六、附件（补充相关材料）</w:t>
      </w:r>
    </w:p>
    <w:p w14:paraId="748AF729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采样原始记录</w:t>
      </w:r>
    </w:p>
    <w:p w14:paraId="03E75EDA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检测仪器校准证书</w:t>
      </w:r>
    </w:p>
    <w:p w14:paraId="1D9705C3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装修材料环保检测报告复印件</w:t>
      </w:r>
    </w:p>
    <w:p w14:paraId="647B537B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CMA 检测资质证书复印件</w:t>
      </w:r>
    </w:p>
    <w:p w14:paraId="3567F306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禁烟标识设置平面图及安装实景照片</w:t>
      </w:r>
    </w:p>
    <w:p w14:paraId="3A4FCC9B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  <w:bdr w:val="none" w:color="auto" w:sz="0" w:space="0"/>
        </w:rPr>
        <w:t>室外吸烟点设置方案及标识样板</w:t>
      </w:r>
    </w:p>
    <w:p w14:paraId="4D6FAEBD">
      <w:pPr>
        <w:rPr>
          <w:rFonts w:hint="eastAsia" w:ascii="宋体" w:hAnsi="宋体" w:eastAsia="宋体" w:cs="宋体"/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2176F"/>
    <w:multiLevelType w:val="multilevel"/>
    <w:tmpl w:val="A0D217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A7BD3EA"/>
    <w:multiLevelType w:val="multilevel"/>
    <w:tmpl w:val="AA7BD3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830634A"/>
    <w:multiLevelType w:val="multilevel"/>
    <w:tmpl w:val="B83063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9583634"/>
    <w:multiLevelType w:val="multilevel"/>
    <w:tmpl w:val="B95836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C8AFF5E6"/>
    <w:multiLevelType w:val="multilevel"/>
    <w:tmpl w:val="C8AFF5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63AF681"/>
    <w:multiLevelType w:val="multilevel"/>
    <w:tmpl w:val="D63AF6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E5E7BCA8"/>
    <w:multiLevelType w:val="multilevel"/>
    <w:tmpl w:val="E5E7BC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EF434EBC"/>
    <w:multiLevelType w:val="multilevel"/>
    <w:tmpl w:val="EF434E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F9380090"/>
    <w:multiLevelType w:val="multilevel"/>
    <w:tmpl w:val="F93800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004B11BB"/>
    <w:multiLevelType w:val="multilevel"/>
    <w:tmpl w:val="004B11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0754F560"/>
    <w:multiLevelType w:val="multilevel"/>
    <w:tmpl w:val="0754F5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1C96DC30"/>
    <w:multiLevelType w:val="multilevel"/>
    <w:tmpl w:val="1C96DC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20B8FC1B"/>
    <w:multiLevelType w:val="multilevel"/>
    <w:tmpl w:val="20B8FC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2FCD5067"/>
    <w:multiLevelType w:val="multilevel"/>
    <w:tmpl w:val="2FCD50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32202128"/>
    <w:multiLevelType w:val="multilevel"/>
    <w:tmpl w:val="322021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32BBC03F"/>
    <w:multiLevelType w:val="multilevel"/>
    <w:tmpl w:val="32BBC0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39F7D31D"/>
    <w:multiLevelType w:val="multilevel"/>
    <w:tmpl w:val="39F7D3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3EB9B9BF"/>
    <w:multiLevelType w:val="multilevel"/>
    <w:tmpl w:val="3EB9B9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454D1735"/>
    <w:multiLevelType w:val="multilevel"/>
    <w:tmpl w:val="454D17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5946DD80"/>
    <w:multiLevelType w:val="multilevel"/>
    <w:tmpl w:val="5946DD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607C0607"/>
    <w:multiLevelType w:val="multilevel"/>
    <w:tmpl w:val="607C06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67BE266F"/>
    <w:multiLevelType w:val="multilevel"/>
    <w:tmpl w:val="67BE26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7834162B"/>
    <w:multiLevelType w:val="multilevel"/>
    <w:tmpl w:val="783416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7DD8C544"/>
    <w:multiLevelType w:val="multilevel"/>
    <w:tmpl w:val="7DD8C5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22"/>
  </w:num>
  <w:num w:numId="12">
    <w:abstractNumId w:val="16"/>
  </w:num>
  <w:num w:numId="13">
    <w:abstractNumId w:val="21"/>
  </w:num>
  <w:num w:numId="14">
    <w:abstractNumId w:val="13"/>
  </w:num>
  <w:num w:numId="15">
    <w:abstractNumId w:val="5"/>
  </w:num>
  <w:num w:numId="16">
    <w:abstractNumId w:val="4"/>
  </w:num>
  <w:num w:numId="17">
    <w:abstractNumId w:val="23"/>
  </w:num>
  <w:num w:numId="18">
    <w:abstractNumId w:val="1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0"/>
  </w:num>
  <w:num w:numId="25">
    <w:abstractNumId w:val="11"/>
  </w:num>
  <w:num w:numId="26">
    <w:abstractNumId w:val="18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D0EE0"/>
    <w:rsid w:val="5A7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2026-03-27T09:25:00Z</dcterms:created>
  <dc:creator>holnap ξ～更好</dc:creator>
  <cp:lastModifiedBy>holnap ξ～更好</cp:lastModifiedBy>
  <dcterms:modified xsi:type="dcterms:W3CDTF">2026-03-27T09:27:06Z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9B6735A60D3343E7AA72D2B440846415_11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