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以绿为脉，以旧为基——唤醒未来与城市活化驱动工厂改造市民活动项目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