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F3AB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0"/>
        <w:rPr>
          <w:rFonts w:cs="宋体"/>
          <w:b/>
          <w:bCs/>
          <w:kern w:val="36"/>
          <w:sz w:val="48"/>
          <w:szCs w:val="48"/>
          <w:lang w:eastAsia="zh-CN"/>
        </w:rPr>
      </w:pPr>
      <w:r w:rsidRPr="001348C4">
        <w:rPr>
          <w:rFonts w:cs="宋体"/>
          <w:b/>
          <w:bCs/>
          <w:kern w:val="36"/>
          <w:sz w:val="48"/>
          <w:szCs w:val="48"/>
          <w:lang w:eastAsia="zh-CN"/>
        </w:rPr>
        <w:t>河南工业大学嵩山路校区图书馆改造项目</w:t>
      </w:r>
    </w:p>
    <w:p w14:paraId="4B24C1DC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0"/>
        <w:rPr>
          <w:rFonts w:cs="宋体"/>
          <w:b/>
          <w:bCs/>
          <w:kern w:val="36"/>
          <w:sz w:val="48"/>
          <w:szCs w:val="48"/>
          <w:lang w:eastAsia="zh-CN"/>
        </w:rPr>
      </w:pPr>
      <w:r w:rsidRPr="001348C4">
        <w:rPr>
          <w:rFonts w:cs="宋体"/>
          <w:b/>
          <w:bCs/>
          <w:kern w:val="36"/>
          <w:sz w:val="48"/>
          <w:szCs w:val="48"/>
          <w:lang w:eastAsia="zh-CN"/>
        </w:rPr>
        <w:t>场地环境影响评价（环评）论证报告</w:t>
      </w:r>
    </w:p>
    <w:p w14:paraId="5C2DED7C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（满足《绿色建筑评价标准》GB/T 50378</w:t>
      </w:r>
      <w:r w:rsidRPr="001348C4">
        <w:rPr>
          <w:rFonts w:cs="宋体"/>
          <w:szCs w:val="24"/>
          <w:lang w:eastAsia="zh-CN"/>
        </w:rPr>
        <w:noBreakHyphen/>
        <w:t>2024 第 4.1.1 条款）</w:t>
      </w:r>
    </w:p>
    <w:p w14:paraId="68FCA2B5" w14:textId="77777777" w:rsidR="001348C4" w:rsidRPr="001348C4" w:rsidRDefault="001348C4" w:rsidP="001348C4">
      <w:pPr>
        <w:spacing w:after="0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pict w14:anchorId="52067823">
          <v:rect id="_x0000_i1025" style="width:0;height:1.5pt" o:hralign="center" o:hrstd="t" o:hr="t" fillcolor="#a0a0a0" stroked="f"/>
        </w:pict>
      </w:r>
    </w:p>
    <w:p w14:paraId="3EFAF2D7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1"/>
        <w:rPr>
          <w:rFonts w:cs="宋体"/>
          <w:b/>
          <w:bCs/>
          <w:sz w:val="36"/>
          <w:szCs w:val="36"/>
          <w:lang w:eastAsia="zh-CN"/>
        </w:rPr>
      </w:pPr>
      <w:r w:rsidRPr="001348C4">
        <w:rPr>
          <w:rFonts w:cs="宋体"/>
          <w:b/>
          <w:bCs/>
          <w:sz w:val="36"/>
          <w:szCs w:val="36"/>
          <w:lang w:eastAsia="zh-CN"/>
        </w:rPr>
        <w:t>一、项目概况</w:t>
      </w:r>
    </w:p>
    <w:p w14:paraId="3C42E9F6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 xml:space="preserve">本项目为河南工业大学嵩山路校区图书馆绿色建筑改造工程，位于河南省郑州市中原区嵩山南路。项目用地面积约 </w:t>
      </w:r>
      <w:r w:rsidRPr="001348C4">
        <w:rPr>
          <w:rFonts w:cs="宋体"/>
          <w:b/>
          <w:bCs/>
          <w:szCs w:val="24"/>
          <w:lang w:eastAsia="zh-CN"/>
        </w:rPr>
        <w:t>9900 m²</w:t>
      </w:r>
      <w:r w:rsidRPr="001348C4">
        <w:rPr>
          <w:rFonts w:cs="宋体"/>
          <w:szCs w:val="24"/>
          <w:lang w:eastAsia="zh-CN"/>
        </w:rPr>
        <w:t xml:space="preserve">，地上建筑面积 </w:t>
      </w:r>
      <w:r w:rsidRPr="001348C4">
        <w:rPr>
          <w:rFonts w:cs="宋体"/>
          <w:b/>
          <w:bCs/>
          <w:szCs w:val="24"/>
          <w:lang w:eastAsia="zh-CN"/>
        </w:rPr>
        <w:t>5268 m²</w:t>
      </w:r>
      <w:r w:rsidRPr="001348C4">
        <w:rPr>
          <w:rFonts w:cs="宋体"/>
          <w:szCs w:val="24"/>
          <w:lang w:eastAsia="zh-CN"/>
        </w:rPr>
        <w:t>，属于既有公共建筑绿色化改造工程，旨在提升建筑节能性能、改善室内环境品质，并实现绿色建筑二星级目标。</w:t>
      </w:r>
    </w:p>
    <w:p w14:paraId="6E16639F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为满足《绿色建筑评价标准》GB/T 50378</w:t>
      </w:r>
      <w:r w:rsidRPr="001348C4">
        <w:rPr>
          <w:rFonts w:cs="宋体"/>
          <w:szCs w:val="24"/>
          <w:lang w:eastAsia="zh-CN"/>
        </w:rPr>
        <w:noBreakHyphen/>
        <w:t xml:space="preserve">2024 第 </w:t>
      </w:r>
      <w:r w:rsidRPr="001348C4">
        <w:rPr>
          <w:rFonts w:cs="宋体"/>
          <w:b/>
          <w:bCs/>
          <w:szCs w:val="24"/>
          <w:lang w:eastAsia="zh-CN"/>
        </w:rPr>
        <w:t>4.1.1 场地安全性要求</w:t>
      </w:r>
      <w:r w:rsidRPr="001348C4">
        <w:rPr>
          <w:rFonts w:cs="宋体"/>
          <w:szCs w:val="24"/>
          <w:lang w:eastAsia="zh-CN"/>
        </w:rPr>
        <w:t>，本报告对项目场地的地质灾害风险、洪涝风险、危险源、电磁辐射及氡风险进行环境影响评价与论证。</w:t>
      </w:r>
    </w:p>
    <w:p w14:paraId="6BF8C21F" w14:textId="77777777" w:rsidR="001348C4" w:rsidRPr="001348C4" w:rsidRDefault="001348C4" w:rsidP="001348C4">
      <w:pPr>
        <w:spacing w:after="0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pict w14:anchorId="5D3BAC0F">
          <v:rect id="_x0000_i1026" style="width:0;height:1.5pt" o:hralign="center" o:hrstd="t" o:hr="t" fillcolor="#a0a0a0" stroked="f"/>
        </w:pict>
      </w:r>
    </w:p>
    <w:p w14:paraId="413C06BD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1"/>
        <w:rPr>
          <w:rFonts w:cs="宋体"/>
          <w:b/>
          <w:bCs/>
          <w:sz w:val="36"/>
          <w:szCs w:val="36"/>
          <w:lang w:eastAsia="zh-CN"/>
        </w:rPr>
      </w:pPr>
      <w:r w:rsidRPr="001348C4">
        <w:rPr>
          <w:rFonts w:cs="宋体"/>
          <w:b/>
          <w:bCs/>
          <w:sz w:val="36"/>
          <w:szCs w:val="36"/>
          <w:lang w:eastAsia="zh-CN"/>
        </w:rPr>
        <w:t>二、编制依据</w:t>
      </w:r>
    </w:p>
    <w:p w14:paraId="36DB54A8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本报告依据以下标准、规范及资料编制：</w:t>
      </w:r>
    </w:p>
    <w:p w14:paraId="174B7C43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《绿色建筑评价标准》GB/T 50378</w:t>
      </w:r>
      <w:r w:rsidRPr="001348C4">
        <w:rPr>
          <w:rFonts w:cs="宋体"/>
          <w:szCs w:val="24"/>
          <w:lang w:eastAsia="zh-CN"/>
        </w:rPr>
        <w:noBreakHyphen/>
        <w:t>2024</w:t>
      </w:r>
    </w:p>
    <w:p w14:paraId="45EAD7E7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《环境影响评价技术导则 总纲》HJ 2.1</w:t>
      </w:r>
    </w:p>
    <w:p w14:paraId="5D699048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《建设项目环境影响评价分类管理名录》</w:t>
      </w:r>
    </w:p>
    <w:p w14:paraId="35D1126B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《城市地质灾害防治规范》GB/T 38570</w:t>
      </w:r>
    </w:p>
    <w:p w14:paraId="30BC5ACE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《建筑抗震设计规范》GB 50011</w:t>
      </w:r>
    </w:p>
    <w:p w14:paraId="44F452B3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《建筑结构荷载规范》GB 50009</w:t>
      </w:r>
    </w:p>
    <w:p w14:paraId="6C1569E7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郑州市自然资源与规划局公开地质资料</w:t>
      </w:r>
    </w:p>
    <w:p w14:paraId="0C8CAAB2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河南工业大学校园基础设施资料</w:t>
      </w:r>
    </w:p>
    <w:p w14:paraId="0B7D382C" w14:textId="77777777" w:rsidR="001348C4" w:rsidRPr="001348C4" w:rsidRDefault="001348C4" w:rsidP="00134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项目现场踏勘记录</w:t>
      </w:r>
    </w:p>
    <w:p w14:paraId="5DE0AABA" w14:textId="77777777" w:rsidR="001348C4" w:rsidRPr="001348C4" w:rsidRDefault="001348C4" w:rsidP="001348C4">
      <w:pPr>
        <w:spacing w:after="0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pict w14:anchorId="55449104">
          <v:rect id="_x0000_i1027" style="width:0;height:1.5pt" o:hralign="center" o:hrstd="t" o:hr="t" fillcolor="#a0a0a0" stroked="f"/>
        </w:pict>
      </w:r>
    </w:p>
    <w:p w14:paraId="0F028AFF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1"/>
        <w:rPr>
          <w:rFonts w:cs="宋体"/>
          <w:b/>
          <w:bCs/>
          <w:sz w:val="36"/>
          <w:szCs w:val="36"/>
          <w:lang w:eastAsia="zh-CN"/>
        </w:rPr>
      </w:pPr>
      <w:r w:rsidRPr="001348C4">
        <w:rPr>
          <w:rFonts w:cs="宋体"/>
          <w:b/>
          <w:bCs/>
          <w:sz w:val="36"/>
          <w:szCs w:val="36"/>
          <w:lang w:eastAsia="zh-CN"/>
        </w:rPr>
        <w:lastRenderedPageBreak/>
        <w:t>三、场地自然环境与地质条件</w:t>
      </w:r>
    </w:p>
    <w:p w14:paraId="6F9B21EA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3.1 地理位置</w:t>
      </w:r>
    </w:p>
    <w:p w14:paraId="2D710093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项目位于郑州市中原区嵩山南路河南工业大学嵩山路校区内，周边为教学楼、宿舍、行政楼等公共建筑，环境稳定、安全性高。</w:t>
      </w:r>
    </w:p>
    <w:p w14:paraId="632FD6E6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3.2 地形地貌</w:t>
      </w:r>
    </w:p>
    <w:p w14:paraId="3D542B0B" w14:textId="77777777" w:rsidR="001348C4" w:rsidRPr="001348C4" w:rsidRDefault="001348C4" w:rsidP="00134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地貌类型：黄河冲积平原南缘</w:t>
      </w:r>
    </w:p>
    <w:p w14:paraId="610417A4" w14:textId="77777777" w:rsidR="001348C4" w:rsidRPr="001348C4" w:rsidRDefault="001348C4" w:rsidP="00134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地势：平坦，海拔约 100–105 m</w:t>
      </w:r>
    </w:p>
    <w:p w14:paraId="750BD5D4" w14:textId="77777777" w:rsidR="001348C4" w:rsidRPr="001348C4" w:rsidRDefault="001348C4" w:rsidP="00134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无山坡、沟谷、堆积体等不良地貌</w:t>
      </w:r>
    </w:p>
    <w:p w14:paraId="62170B64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3.3 地层结构（区域性）</w:t>
      </w:r>
    </w:p>
    <w:p w14:paraId="291CF264" w14:textId="77777777" w:rsidR="001348C4" w:rsidRPr="001348C4" w:rsidRDefault="001348C4" w:rsidP="001348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表层：人工填土（1–3 m）</w:t>
      </w:r>
    </w:p>
    <w:p w14:paraId="568BB1DB" w14:textId="77777777" w:rsidR="001348C4" w:rsidRPr="001348C4" w:rsidRDefault="001348C4" w:rsidP="001348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下部：粉质黏土、粉土层（第四系沉积物）</w:t>
      </w:r>
    </w:p>
    <w:p w14:paraId="4832FBFE" w14:textId="77777777" w:rsidR="001348C4" w:rsidRPr="001348C4" w:rsidRDefault="001348C4" w:rsidP="001348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局部夹层：粉砂、细砂层</w:t>
      </w:r>
    </w:p>
    <w:p w14:paraId="66FA2C84" w14:textId="77777777" w:rsidR="001348C4" w:rsidRPr="001348C4" w:rsidRDefault="001348C4" w:rsidP="001348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基岩深埋（约 300 m 以下）</w:t>
      </w:r>
    </w:p>
    <w:p w14:paraId="268ABDB7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3.4 地下水</w:t>
      </w:r>
    </w:p>
    <w:p w14:paraId="339CCF54" w14:textId="77777777" w:rsidR="001348C4" w:rsidRPr="001348C4" w:rsidRDefault="001348C4" w:rsidP="001348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地下水埋深：5–15 m</w:t>
      </w:r>
    </w:p>
    <w:p w14:paraId="21CA85AF" w14:textId="77777777" w:rsidR="001348C4" w:rsidRPr="001348C4" w:rsidRDefault="001348C4" w:rsidP="001348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类型：潜水</w:t>
      </w:r>
    </w:p>
    <w:p w14:paraId="71775EF1" w14:textId="77777777" w:rsidR="001348C4" w:rsidRPr="001348C4" w:rsidRDefault="001348C4" w:rsidP="001348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水质稳定，无腐蚀性异常</w:t>
      </w:r>
    </w:p>
    <w:p w14:paraId="0B8231A0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b/>
          <w:bCs/>
          <w:szCs w:val="24"/>
          <w:lang w:eastAsia="zh-CN"/>
        </w:rPr>
        <w:t>结论：场地地质条件稳定，适宜建设使用。</w:t>
      </w:r>
    </w:p>
    <w:p w14:paraId="1CB67429" w14:textId="77777777" w:rsidR="001348C4" w:rsidRPr="001348C4" w:rsidRDefault="001348C4" w:rsidP="001348C4">
      <w:pPr>
        <w:spacing w:after="0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pict w14:anchorId="427C30ED">
          <v:rect id="_x0000_i1028" style="width:0;height:1.5pt" o:hralign="center" o:hrstd="t" o:hr="t" fillcolor="#a0a0a0" stroked="f"/>
        </w:pict>
      </w:r>
    </w:p>
    <w:p w14:paraId="1E9302BE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1"/>
        <w:rPr>
          <w:rFonts w:cs="宋体"/>
          <w:b/>
          <w:bCs/>
          <w:sz w:val="36"/>
          <w:szCs w:val="36"/>
          <w:lang w:eastAsia="zh-CN"/>
        </w:rPr>
      </w:pPr>
      <w:r w:rsidRPr="001348C4">
        <w:rPr>
          <w:rFonts w:cs="宋体"/>
          <w:b/>
          <w:bCs/>
          <w:sz w:val="36"/>
          <w:szCs w:val="36"/>
          <w:lang w:eastAsia="zh-CN"/>
        </w:rPr>
        <w:t>四、地质灾害风险评价（满足 4.1.1 要求）</w:t>
      </w:r>
    </w:p>
    <w:p w14:paraId="08DCEF32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4.1 滑坡、泥石流风险</w:t>
      </w:r>
    </w:p>
    <w:p w14:paraId="1ED0FF2C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经查阅区域地质资料及现场踏勘：</w:t>
      </w:r>
    </w:p>
    <w:p w14:paraId="52DA02B1" w14:textId="77777777" w:rsidR="001348C4" w:rsidRPr="001348C4" w:rsidRDefault="001348C4" w:rsidP="001348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场地位于平原区，无山地、陡坡；</w:t>
      </w:r>
    </w:p>
    <w:p w14:paraId="10A613A0" w14:textId="77777777" w:rsidR="001348C4" w:rsidRPr="001348C4" w:rsidRDefault="001348C4" w:rsidP="001348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无滑坡、泥石流形成的地貌条件；</w:t>
      </w:r>
    </w:p>
    <w:p w14:paraId="4E4B9400" w14:textId="77777777" w:rsidR="001348C4" w:rsidRPr="001348C4" w:rsidRDefault="001348C4" w:rsidP="001348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历史记录中无相关灾害案例。</w:t>
      </w:r>
    </w:p>
    <w:p w14:paraId="4479AAA7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b/>
          <w:bCs/>
          <w:szCs w:val="24"/>
          <w:lang w:eastAsia="zh-CN"/>
        </w:rPr>
        <w:t>结论：场地不存在滑坡、泥石流等地质灾害风险。</w:t>
      </w:r>
    </w:p>
    <w:p w14:paraId="0A949CAB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lastRenderedPageBreak/>
        <w:t>4.2 地裂缝、地面沉降风险</w:t>
      </w:r>
    </w:p>
    <w:p w14:paraId="024AF0FD" w14:textId="77777777" w:rsidR="001348C4" w:rsidRPr="001348C4" w:rsidRDefault="001348C4" w:rsidP="001348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郑州局部存在地裂缝分布，但本项目不在地裂缝带范围内；</w:t>
      </w:r>
    </w:p>
    <w:p w14:paraId="100BDB7A" w14:textId="77777777" w:rsidR="001348C4" w:rsidRPr="001348C4" w:rsidRDefault="001348C4" w:rsidP="001348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校园内未发现地面沉降异常。</w:t>
      </w:r>
    </w:p>
    <w:p w14:paraId="31EF8854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b/>
          <w:bCs/>
          <w:szCs w:val="24"/>
          <w:lang w:eastAsia="zh-CN"/>
        </w:rPr>
        <w:t>结论：场地不存在地裂缝及地面沉降风险。</w:t>
      </w:r>
    </w:p>
    <w:p w14:paraId="4D4DC10D" w14:textId="77777777" w:rsidR="001348C4" w:rsidRPr="001348C4" w:rsidRDefault="001348C4" w:rsidP="001348C4">
      <w:pPr>
        <w:spacing w:after="0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pict w14:anchorId="316DD235">
          <v:rect id="_x0000_i1029" style="width:0;height:1.5pt" o:hralign="center" o:hrstd="t" o:hr="t" fillcolor="#a0a0a0" stroked="f"/>
        </w:pict>
      </w:r>
    </w:p>
    <w:p w14:paraId="3AF3F4F4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1"/>
        <w:rPr>
          <w:rFonts w:cs="宋体"/>
          <w:b/>
          <w:bCs/>
          <w:sz w:val="36"/>
          <w:szCs w:val="36"/>
          <w:lang w:eastAsia="zh-CN"/>
        </w:rPr>
      </w:pPr>
      <w:r w:rsidRPr="001348C4">
        <w:rPr>
          <w:rFonts w:cs="宋体"/>
          <w:b/>
          <w:bCs/>
          <w:sz w:val="36"/>
          <w:szCs w:val="36"/>
          <w:lang w:eastAsia="zh-CN"/>
        </w:rPr>
        <w:t>五、洪涝风险与防洪设施评价</w:t>
      </w:r>
    </w:p>
    <w:p w14:paraId="3C08F754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5.1 区域降雨与内涝情况</w:t>
      </w:r>
    </w:p>
    <w:p w14:paraId="3F051E51" w14:textId="77777777" w:rsidR="001348C4" w:rsidRPr="001348C4" w:rsidRDefault="001348C4" w:rsidP="001348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郑州夏季降雨集中，存在城市内涝风险；</w:t>
      </w:r>
    </w:p>
    <w:p w14:paraId="4268EA3C" w14:textId="77777777" w:rsidR="001348C4" w:rsidRPr="001348C4" w:rsidRDefault="001348C4" w:rsidP="001348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项目所在区域为市政排水体系完善区。</w:t>
      </w:r>
    </w:p>
    <w:p w14:paraId="4DEECD59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5.2 场地排水设施</w:t>
      </w:r>
    </w:p>
    <w:p w14:paraId="5D48A918" w14:textId="77777777" w:rsidR="001348C4" w:rsidRPr="001348C4" w:rsidRDefault="001348C4" w:rsidP="001348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校园内雨污分流系统完善；</w:t>
      </w:r>
    </w:p>
    <w:p w14:paraId="478BEEC9" w14:textId="77777777" w:rsidR="001348C4" w:rsidRPr="001348C4" w:rsidRDefault="001348C4" w:rsidP="001348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场地地势平整，无低洼积水点；</w:t>
      </w:r>
    </w:p>
    <w:p w14:paraId="5E547287" w14:textId="77777777" w:rsidR="001348C4" w:rsidRPr="001348C4" w:rsidRDefault="001348C4" w:rsidP="001348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设置雨水口、排水沟、地下管网；</w:t>
      </w:r>
    </w:p>
    <w:p w14:paraId="68BA9941" w14:textId="77777777" w:rsidR="001348C4" w:rsidRPr="001348C4" w:rsidRDefault="001348C4" w:rsidP="001348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改造方案中进一步采用：绿色屋顶、雨水花园、下凹绿地、雨水调蓄设施。</w:t>
      </w:r>
    </w:p>
    <w:p w14:paraId="59964840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b/>
          <w:bCs/>
          <w:szCs w:val="24"/>
          <w:lang w:eastAsia="zh-CN"/>
        </w:rPr>
        <w:t>结论：场地具备可靠防洪涝基础设施，洪涝风险可控。</w:t>
      </w:r>
    </w:p>
    <w:p w14:paraId="755E9FD4" w14:textId="77777777" w:rsidR="001348C4" w:rsidRPr="001348C4" w:rsidRDefault="001348C4" w:rsidP="001348C4">
      <w:pPr>
        <w:spacing w:after="0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pict w14:anchorId="5D261A7C">
          <v:rect id="_x0000_i1030" style="width:0;height:1.5pt" o:hralign="center" o:hrstd="t" o:hr="t" fillcolor="#a0a0a0" stroked="f"/>
        </w:pict>
      </w:r>
    </w:p>
    <w:p w14:paraId="4A268D63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1"/>
        <w:rPr>
          <w:rFonts w:cs="宋体"/>
          <w:b/>
          <w:bCs/>
          <w:sz w:val="36"/>
          <w:szCs w:val="36"/>
          <w:lang w:eastAsia="zh-CN"/>
        </w:rPr>
      </w:pPr>
      <w:r w:rsidRPr="001348C4">
        <w:rPr>
          <w:rFonts w:cs="宋体"/>
          <w:b/>
          <w:bCs/>
          <w:sz w:val="36"/>
          <w:szCs w:val="36"/>
          <w:lang w:eastAsia="zh-CN"/>
        </w:rPr>
        <w:t>六、危险化学品与易燃易爆源评价</w:t>
      </w:r>
    </w:p>
    <w:p w14:paraId="440AF518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6.1 周边环境调查</w:t>
      </w:r>
    </w:p>
    <w:p w14:paraId="7369634C" w14:textId="77777777" w:rsidR="001348C4" w:rsidRPr="001348C4" w:rsidRDefault="001348C4" w:rsidP="001348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场地位于高校校园内部；</w:t>
      </w:r>
    </w:p>
    <w:p w14:paraId="2D1342B0" w14:textId="77777777" w:rsidR="001348C4" w:rsidRPr="001348C4" w:rsidRDefault="001348C4" w:rsidP="001348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周边为教学楼、宿舍、行政楼等公共建筑；</w:t>
      </w:r>
    </w:p>
    <w:p w14:paraId="56F218F3" w14:textId="77777777" w:rsidR="001348C4" w:rsidRPr="001348C4" w:rsidRDefault="001348C4" w:rsidP="001348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无化工厂、油库、加油站等危险源。</w:t>
      </w:r>
    </w:p>
    <w:p w14:paraId="20B41944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6.2 校园内部危险源排查</w:t>
      </w:r>
    </w:p>
    <w:p w14:paraId="383A0A43" w14:textId="77777777" w:rsidR="001348C4" w:rsidRPr="001348C4" w:rsidRDefault="001348C4" w:rsidP="001348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校园内无危险化学品生产、储存设施；</w:t>
      </w:r>
    </w:p>
    <w:p w14:paraId="25A88DE6" w14:textId="77777777" w:rsidR="001348C4" w:rsidRPr="001348C4" w:rsidRDefault="001348C4" w:rsidP="001348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校园道路不作为危险品运输路线。</w:t>
      </w:r>
    </w:p>
    <w:p w14:paraId="4E587710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b/>
          <w:bCs/>
          <w:szCs w:val="24"/>
          <w:lang w:eastAsia="zh-CN"/>
        </w:rPr>
        <w:t>结论：场地不存在危险化学品、易燃易爆危险源威胁。</w:t>
      </w:r>
    </w:p>
    <w:p w14:paraId="32DC77BB" w14:textId="77777777" w:rsidR="001348C4" w:rsidRPr="001348C4" w:rsidRDefault="001348C4" w:rsidP="001348C4">
      <w:pPr>
        <w:spacing w:after="0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lastRenderedPageBreak/>
        <w:pict w14:anchorId="19D30215">
          <v:rect id="_x0000_i1031" style="width:0;height:1.5pt" o:hralign="center" o:hrstd="t" o:hr="t" fillcolor="#a0a0a0" stroked="f"/>
        </w:pict>
      </w:r>
    </w:p>
    <w:p w14:paraId="4EEA0F62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1"/>
        <w:rPr>
          <w:rFonts w:cs="宋体"/>
          <w:b/>
          <w:bCs/>
          <w:sz w:val="36"/>
          <w:szCs w:val="36"/>
          <w:lang w:eastAsia="zh-CN"/>
        </w:rPr>
      </w:pPr>
      <w:r w:rsidRPr="001348C4">
        <w:rPr>
          <w:rFonts w:cs="宋体"/>
          <w:b/>
          <w:bCs/>
          <w:sz w:val="36"/>
          <w:szCs w:val="36"/>
          <w:lang w:eastAsia="zh-CN"/>
        </w:rPr>
        <w:t>七、电磁辐射与氡风险评价</w:t>
      </w:r>
    </w:p>
    <w:p w14:paraId="045D0343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7.1 电磁辐射</w:t>
      </w:r>
    </w:p>
    <w:p w14:paraId="7F52E0F3" w14:textId="77777777" w:rsidR="001348C4" w:rsidRPr="001348C4" w:rsidRDefault="001348C4" w:rsidP="001348C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场地周边无高压输电走廊；</w:t>
      </w:r>
    </w:p>
    <w:p w14:paraId="298CD2A6" w14:textId="77777777" w:rsidR="001348C4" w:rsidRPr="001348C4" w:rsidRDefault="001348C4" w:rsidP="001348C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无大型变电站；</w:t>
      </w:r>
    </w:p>
    <w:p w14:paraId="1A79F443" w14:textId="77777777" w:rsidR="001348C4" w:rsidRPr="001348C4" w:rsidRDefault="001348C4" w:rsidP="001348C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无高功率通信基站；</w:t>
      </w:r>
    </w:p>
    <w:p w14:paraId="539C6C88" w14:textId="77777777" w:rsidR="001348C4" w:rsidRPr="001348C4" w:rsidRDefault="001348C4" w:rsidP="001348C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校园通信设备均符合国家标准。</w:t>
      </w:r>
    </w:p>
    <w:p w14:paraId="32FC6E1B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2"/>
        <w:rPr>
          <w:rFonts w:cs="宋体"/>
          <w:b/>
          <w:bCs/>
          <w:sz w:val="27"/>
          <w:szCs w:val="27"/>
          <w:lang w:eastAsia="zh-CN"/>
        </w:rPr>
      </w:pPr>
      <w:r w:rsidRPr="001348C4">
        <w:rPr>
          <w:rFonts w:cs="宋体"/>
          <w:b/>
          <w:bCs/>
          <w:sz w:val="27"/>
          <w:szCs w:val="27"/>
          <w:lang w:eastAsia="zh-CN"/>
        </w:rPr>
        <w:t>7.2 氡浓度与含氡土壤</w:t>
      </w:r>
    </w:p>
    <w:p w14:paraId="1918CD57" w14:textId="77777777" w:rsidR="001348C4" w:rsidRPr="001348C4" w:rsidRDefault="001348C4" w:rsidP="001348C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郑州地区第四系沉积物为主，含氡水平低；</w:t>
      </w:r>
    </w:p>
    <w:p w14:paraId="678A39AD" w14:textId="77777777" w:rsidR="001348C4" w:rsidRPr="001348C4" w:rsidRDefault="001348C4" w:rsidP="001348C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场地无花岗岩等高氡母岩；</w:t>
      </w:r>
    </w:p>
    <w:p w14:paraId="3CD38F18" w14:textId="77777777" w:rsidR="001348C4" w:rsidRPr="001348C4" w:rsidRDefault="001348C4" w:rsidP="001348C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既有建筑长期使用未发现氡浓度异常。</w:t>
      </w:r>
    </w:p>
    <w:p w14:paraId="1B255F1E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b/>
          <w:bCs/>
          <w:szCs w:val="24"/>
          <w:lang w:eastAsia="zh-CN"/>
        </w:rPr>
        <w:t>结论：场地不存在电磁辐射危害与含氡土壤风险。</w:t>
      </w:r>
    </w:p>
    <w:p w14:paraId="03BEBBBF" w14:textId="77777777" w:rsidR="001348C4" w:rsidRPr="001348C4" w:rsidRDefault="001348C4" w:rsidP="001348C4">
      <w:pPr>
        <w:spacing w:after="0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pict w14:anchorId="4F039CD8">
          <v:rect id="_x0000_i1032" style="width:0;height:1.5pt" o:hralign="center" o:hrstd="t" o:hr="t" fillcolor="#a0a0a0" stroked="f"/>
        </w:pict>
      </w:r>
    </w:p>
    <w:p w14:paraId="47354A8E" w14:textId="77777777" w:rsidR="001348C4" w:rsidRPr="001348C4" w:rsidRDefault="001348C4" w:rsidP="001348C4">
      <w:pPr>
        <w:spacing w:before="100" w:beforeAutospacing="1" w:after="100" w:afterAutospacing="1" w:line="240" w:lineRule="auto"/>
        <w:outlineLvl w:val="1"/>
        <w:rPr>
          <w:rFonts w:cs="宋体"/>
          <w:b/>
          <w:bCs/>
          <w:sz w:val="36"/>
          <w:szCs w:val="36"/>
          <w:lang w:eastAsia="zh-CN"/>
        </w:rPr>
      </w:pPr>
      <w:r w:rsidRPr="001348C4">
        <w:rPr>
          <w:rFonts w:cs="宋体"/>
          <w:b/>
          <w:bCs/>
          <w:sz w:val="36"/>
          <w:szCs w:val="36"/>
          <w:lang w:eastAsia="zh-CN"/>
        </w:rPr>
        <w:t>八、综合评价结论</w:t>
      </w:r>
    </w:p>
    <w:p w14:paraId="6279FDF4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经对场地地质条件、地质灾害、洪涝风险、危险源、电磁辐射及氡风险的系统评价，得出以下结论：</w:t>
      </w:r>
    </w:p>
    <w:p w14:paraId="7D1067B5" w14:textId="77777777" w:rsidR="001348C4" w:rsidRPr="001348C4" w:rsidRDefault="001348C4" w:rsidP="001348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场地无滑坡、泥石流等地质灾害风险；</w:t>
      </w:r>
    </w:p>
    <w:p w14:paraId="7967846F" w14:textId="77777777" w:rsidR="001348C4" w:rsidRPr="001348C4" w:rsidRDefault="001348C4" w:rsidP="001348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场地洪涝风险可控，排水设施完善；</w:t>
      </w:r>
    </w:p>
    <w:p w14:paraId="135095EE" w14:textId="77777777" w:rsidR="001348C4" w:rsidRPr="001348C4" w:rsidRDefault="001348C4" w:rsidP="001348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场地无危险化学品、易燃易爆危险源威胁；</w:t>
      </w:r>
    </w:p>
    <w:p w14:paraId="15948BD4" w14:textId="77777777" w:rsidR="001348C4" w:rsidRPr="001348C4" w:rsidRDefault="001348C4" w:rsidP="001348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场地无电磁辐射危害；</w:t>
      </w:r>
    </w:p>
    <w:p w14:paraId="7EC4F89D" w14:textId="77777777" w:rsidR="001348C4" w:rsidRPr="001348C4" w:rsidRDefault="001348C4" w:rsidP="001348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场地无含氡土壤风险；</w:t>
      </w:r>
    </w:p>
    <w:p w14:paraId="65828C81" w14:textId="77777777" w:rsidR="001348C4" w:rsidRPr="001348C4" w:rsidRDefault="001348C4" w:rsidP="001348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szCs w:val="24"/>
          <w:lang w:eastAsia="zh-CN"/>
        </w:rPr>
        <w:t>场地整体安全性满足《绿色建筑评价标准》GB/T 50378</w:t>
      </w:r>
      <w:r w:rsidRPr="001348C4">
        <w:rPr>
          <w:rFonts w:cs="宋体"/>
          <w:szCs w:val="24"/>
          <w:lang w:eastAsia="zh-CN"/>
        </w:rPr>
        <w:noBreakHyphen/>
        <w:t>2024 第 4.1.1 条款要求。</w:t>
      </w:r>
    </w:p>
    <w:p w14:paraId="5C55193D" w14:textId="77777777" w:rsidR="001348C4" w:rsidRPr="001348C4" w:rsidRDefault="001348C4" w:rsidP="001348C4">
      <w:pPr>
        <w:spacing w:before="100" w:beforeAutospacing="1" w:after="100" w:afterAutospacing="1" w:line="240" w:lineRule="auto"/>
        <w:rPr>
          <w:rFonts w:cs="宋体"/>
          <w:szCs w:val="24"/>
          <w:lang w:eastAsia="zh-CN"/>
        </w:rPr>
      </w:pPr>
      <w:r w:rsidRPr="001348C4">
        <w:rPr>
          <w:rFonts w:cs="宋体"/>
          <w:b/>
          <w:bCs/>
          <w:szCs w:val="24"/>
          <w:lang w:eastAsia="zh-CN"/>
        </w:rPr>
        <w:t>最终结论：本项目场地安全可靠，可作为绿色建筑改造工程的适宜用地。</w:t>
      </w:r>
    </w:p>
    <w:p w14:paraId="74FD3F76" w14:textId="2DA335CD" w:rsidR="00483500" w:rsidRDefault="00483500">
      <w:pPr>
        <w:ind w:firstLine="480"/>
        <w:rPr>
          <w:rFonts w:hint="eastAsia"/>
        </w:rPr>
      </w:pPr>
    </w:p>
    <w:sectPr w:rsidR="004835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D0AF2"/>
    <w:multiLevelType w:val="multilevel"/>
    <w:tmpl w:val="1DB0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C0D37"/>
    <w:multiLevelType w:val="multilevel"/>
    <w:tmpl w:val="6010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35120D"/>
    <w:multiLevelType w:val="multilevel"/>
    <w:tmpl w:val="47D8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306FB"/>
    <w:multiLevelType w:val="multilevel"/>
    <w:tmpl w:val="081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B3E11"/>
    <w:multiLevelType w:val="multilevel"/>
    <w:tmpl w:val="8E0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0693F"/>
    <w:multiLevelType w:val="multilevel"/>
    <w:tmpl w:val="DE64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47DC2"/>
    <w:multiLevelType w:val="multilevel"/>
    <w:tmpl w:val="C076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17149"/>
    <w:multiLevelType w:val="multilevel"/>
    <w:tmpl w:val="7D74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705724"/>
    <w:multiLevelType w:val="multilevel"/>
    <w:tmpl w:val="811A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F2381"/>
    <w:multiLevelType w:val="multilevel"/>
    <w:tmpl w:val="6BE2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01A00"/>
    <w:multiLevelType w:val="multilevel"/>
    <w:tmpl w:val="42DA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232806"/>
    <w:multiLevelType w:val="multilevel"/>
    <w:tmpl w:val="6DA4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84EBE"/>
    <w:multiLevelType w:val="multilevel"/>
    <w:tmpl w:val="4E0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976972">
    <w:abstractNumId w:val="8"/>
  </w:num>
  <w:num w:numId="2" w16cid:durableId="85733215">
    <w:abstractNumId w:val="6"/>
  </w:num>
  <w:num w:numId="3" w16cid:durableId="909190626">
    <w:abstractNumId w:val="5"/>
  </w:num>
  <w:num w:numId="4" w16cid:durableId="2031182771">
    <w:abstractNumId w:val="4"/>
  </w:num>
  <w:num w:numId="5" w16cid:durableId="791633126">
    <w:abstractNumId w:val="7"/>
  </w:num>
  <w:num w:numId="6" w16cid:durableId="1332677204">
    <w:abstractNumId w:val="3"/>
  </w:num>
  <w:num w:numId="7" w16cid:durableId="240875541">
    <w:abstractNumId w:val="2"/>
  </w:num>
  <w:num w:numId="8" w16cid:durableId="1599946499">
    <w:abstractNumId w:val="1"/>
  </w:num>
  <w:num w:numId="9" w16cid:durableId="353925222">
    <w:abstractNumId w:val="0"/>
  </w:num>
  <w:num w:numId="10" w16cid:durableId="1910652275">
    <w:abstractNumId w:val="16"/>
  </w:num>
  <w:num w:numId="11" w16cid:durableId="1303540438">
    <w:abstractNumId w:val="11"/>
  </w:num>
  <w:num w:numId="12" w16cid:durableId="275797127">
    <w:abstractNumId w:val="17"/>
  </w:num>
  <w:num w:numId="13" w16cid:durableId="405956435">
    <w:abstractNumId w:val="9"/>
  </w:num>
  <w:num w:numId="14" w16cid:durableId="1385105465">
    <w:abstractNumId w:val="13"/>
  </w:num>
  <w:num w:numId="15" w16cid:durableId="991253204">
    <w:abstractNumId w:val="12"/>
  </w:num>
  <w:num w:numId="16" w16cid:durableId="2079358184">
    <w:abstractNumId w:val="20"/>
  </w:num>
  <w:num w:numId="17" w16cid:durableId="335619187">
    <w:abstractNumId w:val="15"/>
  </w:num>
  <w:num w:numId="18" w16cid:durableId="1139343377">
    <w:abstractNumId w:val="10"/>
  </w:num>
  <w:num w:numId="19" w16cid:durableId="898512985">
    <w:abstractNumId w:val="14"/>
  </w:num>
  <w:num w:numId="20" w16cid:durableId="1554080926">
    <w:abstractNumId w:val="21"/>
  </w:num>
  <w:num w:numId="21" w16cid:durableId="921908465">
    <w:abstractNumId w:val="19"/>
  </w:num>
  <w:num w:numId="22" w16cid:durableId="4784278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8C4"/>
    <w:rsid w:val="0015074B"/>
    <w:rsid w:val="001D0959"/>
    <w:rsid w:val="0029639D"/>
    <w:rsid w:val="00326F90"/>
    <w:rsid w:val="004835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C8D3D"/>
  <w14:defaultImageDpi w14:val="300"/>
  <w15:docId w15:val="{28091428-D980-46F1-BFD7-1997870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862</Characters>
  <Application>Microsoft Office Word</Application>
  <DocSecurity>0</DocSecurity>
  <Lines>43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QIMING GUO</cp:lastModifiedBy>
  <cp:revision>2</cp:revision>
  <dcterms:created xsi:type="dcterms:W3CDTF">2013-12-23T23:15:00Z</dcterms:created>
  <dcterms:modified xsi:type="dcterms:W3CDTF">2026-03-17T03:25:00Z</dcterms:modified>
  <cp:category/>
</cp:coreProperties>
</file>