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工业回响-存量提质背景下的工业遗产绿色建筑改造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