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75680">
      <w:pPr>
        <w:pStyle w:val="46"/>
      </w:pPr>
      <w:bookmarkStart w:id="131" w:name="_GoBack"/>
      <w:bookmarkEnd w:id="131"/>
    </w:p>
    <w:p w14:paraId="694DEFE0">
      <w:pPr>
        <w:pStyle w:val="46"/>
      </w:pPr>
    </w:p>
    <w:p w14:paraId="0F4AE8E0">
      <w:pPr>
        <w:pStyle w:val="46"/>
        <w:jc w:val="distribute"/>
        <w:rPr>
          <w:b/>
          <w:sz w:val="72"/>
          <w:szCs w:val="72"/>
        </w:rPr>
      </w:pPr>
      <w:r>
        <w:rPr>
          <w:rFonts w:hint="eastAsia"/>
          <w:b/>
          <w:sz w:val="72"/>
          <w:szCs w:val="72"/>
        </w:rPr>
        <w:t>室外风环境模拟分析报告</w:t>
      </w:r>
    </w:p>
    <w:p w14:paraId="48868456">
      <w:pPr>
        <w:pStyle w:val="50"/>
        <w:spacing w:line="400" w:lineRule="exact"/>
      </w:pPr>
    </w:p>
    <w:p w14:paraId="7FB64CBC">
      <w:pPr>
        <w:pStyle w:val="50"/>
        <w:rPr>
          <w:b/>
        </w:rPr>
      </w:pPr>
      <w:bookmarkStart w:id="0" w:name="项目名称"/>
    </w:p>
    <w:p w14:paraId="1CA89034">
      <w:pPr>
        <w:pStyle w:val="50"/>
        <w:rPr>
          <w:b/>
        </w:rPr>
      </w:pPr>
      <w:r>
        <w:rPr>
          <w:rFonts w:hint="eastAsia"/>
          <w:b/>
        </w:rPr>
        <w:t>设计编号：</w:t>
      </w:r>
      <w:bookmarkStart w:id="1" w:name="设计编号"/>
    </w:p>
    <w:p w14:paraId="1D5FE54B">
      <w:pPr>
        <w:pStyle w:val="50"/>
        <w:rPr>
          <w:b/>
        </w:rPr>
      </w:pPr>
    </w:p>
    <w:p w14:paraId="6932A706">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1D147A48">
      <w:pPr>
        <w:pStyle w:val="46"/>
        <w:jc w:val="center"/>
      </w:pPr>
    </w:p>
    <w:p w14:paraId="481CF9F6">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B1E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C701376">
            <w:pPr>
              <w:pStyle w:val="46"/>
              <w:spacing w:line="240" w:lineRule="auto"/>
              <w:jc w:val="distribute"/>
            </w:pPr>
            <w:r>
              <w:rPr>
                <w:rFonts w:hint="eastAsia"/>
              </w:rPr>
              <w:t>工程地点</w:t>
            </w:r>
          </w:p>
        </w:tc>
        <w:tc>
          <w:tcPr>
            <w:tcW w:w="475" w:type="dxa"/>
            <w:vAlign w:val="center"/>
          </w:tcPr>
          <w:p w14:paraId="554CBDA7">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001C4C5C">
            <w:pPr>
              <w:pStyle w:val="46"/>
              <w:spacing w:line="240" w:lineRule="auto"/>
              <w:jc w:val="center"/>
            </w:pPr>
            <w:bookmarkStart w:id="3" w:name="项目地点"/>
            <w:bookmarkStart w:id="4" w:name="工程地点"/>
            <w:r>
              <w:t>武汉</w:t>
            </w:r>
            <w:bookmarkEnd w:id="3"/>
          </w:p>
        </w:tc>
      </w:tr>
      <w:tr w14:paraId="73EBF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60E419">
            <w:pPr>
              <w:pStyle w:val="46"/>
              <w:spacing w:line="240" w:lineRule="auto"/>
              <w:jc w:val="distribute"/>
            </w:pPr>
            <w:r>
              <w:rPr>
                <w:rFonts w:hint="eastAsia"/>
              </w:rPr>
              <w:t>建设单位</w:t>
            </w:r>
          </w:p>
        </w:tc>
        <w:tc>
          <w:tcPr>
            <w:tcW w:w="475" w:type="dxa"/>
            <w:vAlign w:val="center"/>
          </w:tcPr>
          <w:p w14:paraId="58C165DC">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1B1FF39B">
            <w:pPr>
              <w:pStyle w:val="46"/>
              <w:spacing w:line="240" w:lineRule="auto"/>
              <w:jc w:val="center"/>
            </w:pPr>
            <w:bookmarkStart w:id="5" w:name="建设单位"/>
            <w:bookmarkEnd w:id="5"/>
          </w:p>
        </w:tc>
      </w:tr>
      <w:tr w14:paraId="49D5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808F609">
            <w:pPr>
              <w:pStyle w:val="46"/>
              <w:spacing w:line="240" w:lineRule="auto"/>
              <w:jc w:val="distribute"/>
            </w:pPr>
            <w:r>
              <w:rPr>
                <w:rFonts w:hint="eastAsia"/>
              </w:rPr>
              <w:t>设计单位</w:t>
            </w:r>
          </w:p>
        </w:tc>
        <w:tc>
          <w:tcPr>
            <w:tcW w:w="475" w:type="dxa"/>
            <w:vAlign w:val="center"/>
          </w:tcPr>
          <w:p w14:paraId="0E129FEA">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B64E767">
            <w:pPr>
              <w:pStyle w:val="46"/>
              <w:spacing w:line="240" w:lineRule="auto"/>
              <w:jc w:val="center"/>
            </w:pPr>
            <w:bookmarkStart w:id="6" w:name="设计单位"/>
            <w:bookmarkEnd w:id="6"/>
          </w:p>
        </w:tc>
      </w:tr>
      <w:tr w14:paraId="6A0A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F95633">
            <w:pPr>
              <w:pStyle w:val="46"/>
              <w:spacing w:line="240" w:lineRule="auto"/>
              <w:jc w:val="distribute"/>
            </w:pPr>
            <w:r>
              <w:rPr>
                <w:rFonts w:hint="eastAsia"/>
              </w:rPr>
              <w:t>设计人</w:t>
            </w:r>
          </w:p>
        </w:tc>
        <w:tc>
          <w:tcPr>
            <w:tcW w:w="475" w:type="dxa"/>
            <w:vAlign w:val="center"/>
          </w:tcPr>
          <w:p w14:paraId="14C82864">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24450C1F">
            <w:pPr>
              <w:pStyle w:val="46"/>
              <w:spacing w:line="240" w:lineRule="auto"/>
              <w:jc w:val="center"/>
            </w:pPr>
          </w:p>
        </w:tc>
      </w:tr>
      <w:tr w14:paraId="05A6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DBAA15">
            <w:pPr>
              <w:pStyle w:val="46"/>
              <w:spacing w:line="240" w:lineRule="auto"/>
              <w:jc w:val="distribute"/>
            </w:pPr>
            <w:r>
              <w:rPr>
                <w:rFonts w:hint="eastAsia"/>
              </w:rPr>
              <w:t>校对人</w:t>
            </w:r>
          </w:p>
        </w:tc>
        <w:tc>
          <w:tcPr>
            <w:tcW w:w="475" w:type="dxa"/>
            <w:vAlign w:val="center"/>
          </w:tcPr>
          <w:p w14:paraId="7B28B98A">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AF13483">
            <w:pPr>
              <w:pStyle w:val="46"/>
              <w:spacing w:line="240" w:lineRule="auto"/>
              <w:jc w:val="center"/>
            </w:pPr>
          </w:p>
        </w:tc>
      </w:tr>
      <w:tr w14:paraId="5629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3528B75">
            <w:pPr>
              <w:pStyle w:val="46"/>
              <w:spacing w:line="240" w:lineRule="auto"/>
              <w:jc w:val="distribute"/>
            </w:pPr>
            <w:r>
              <w:rPr>
                <w:rFonts w:hint="eastAsia"/>
              </w:rPr>
              <w:t>审定人</w:t>
            </w:r>
          </w:p>
        </w:tc>
        <w:tc>
          <w:tcPr>
            <w:tcW w:w="475" w:type="dxa"/>
            <w:vAlign w:val="center"/>
          </w:tcPr>
          <w:p w14:paraId="5253FF81">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51574A7">
            <w:pPr>
              <w:pStyle w:val="46"/>
              <w:spacing w:line="240" w:lineRule="auto"/>
              <w:jc w:val="center"/>
            </w:pPr>
          </w:p>
        </w:tc>
      </w:tr>
      <w:tr w14:paraId="7180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FA9AD1">
            <w:pPr>
              <w:pStyle w:val="46"/>
              <w:spacing w:line="240" w:lineRule="auto"/>
              <w:jc w:val="distribute"/>
            </w:pPr>
            <w:r>
              <w:rPr>
                <w:rFonts w:hint="eastAsia"/>
              </w:rPr>
              <w:t>报告日期</w:t>
            </w:r>
          </w:p>
        </w:tc>
        <w:tc>
          <w:tcPr>
            <w:tcW w:w="475" w:type="dxa"/>
            <w:vAlign w:val="center"/>
          </w:tcPr>
          <w:p w14:paraId="33C8B2E7">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8C1F9C4">
            <w:pPr>
              <w:pStyle w:val="46"/>
              <w:spacing w:line="240" w:lineRule="auto"/>
              <w:jc w:val="center"/>
            </w:pPr>
            <w:bookmarkStart w:id="7" w:name="报告日期"/>
            <w:r>
              <w:t>2026年01月02日</w:t>
            </w:r>
            <w:bookmarkEnd w:id="7"/>
          </w:p>
        </w:tc>
      </w:tr>
    </w:tbl>
    <w:p w14:paraId="46C5F4D8"/>
    <w:p w14:paraId="2266C02B">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E52B6E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905A2BC">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60D4813">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A460ADE">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CA6F04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DC590C6">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45418FBD">
            <w:pPr>
              <w:pStyle w:val="4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EA4BB4C">
            <w:pPr>
              <w:spacing w:line="360" w:lineRule="exact"/>
              <w:ind w:firstLine="360"/>
              <w:rPr>
                <w:sz w:val="18"/>
                <w:szCs w:val="18"/>
              </w:rPr>
            </w:pPr>
          </w:p>
        </w:tc>
      </w:tr>
      <w:tr w14:paraId="5882736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A10BB76">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4E01F729">
            <w:pPr>
              <w:pStyle w:val="48"/>
              <w:rPr>
                <w:szCs w:val="18"/>
              </w:rPr>
            </w:pPr>
            <w:r>
              <w:rPr>
                <w:rFonts w:hint="eastAsia"/>
                <w:szCs w:val="18"/>
              </w:rPr>
              <w:t xml:space="preserve">: </w:t>
            </w:r>
            <w:bookmarkStart w:id="10" w:name="加密锁号"/>
            <w:r>
              <w:rPr>
                <w:rFonts w:hint="eastAsia"/>
                <w:szCs w:val="18"/>
              </w:rPr>
              <w:t>T18924566761</w:t>
            </w:r>
            <w:bookmarkEnd w:id="10"/>
          </w:p>
        </w:tc>
        <w:tc>
          <w:tcPr>
            <w:tcW w:w="3958" w:type="dxa"/>
            <w:vMerge w:val="continue"/>
            <w:tcBorders>
              <w:top w:val="single" w:color="auto" w:sz="2" w:space="0"/>
              <w:left w:val="nil"/>
              <w:bottom w:val="nil"/>
              <w:right w:val="nil"/>
            </w:tcBorders>
            <w:vAlign w:val="center"/>
          </w:tcPr>
          <w:p w14:paraId="04C131FA">
            <w:pPr>
              <w:spacing w:line="360" w:lineRule="exact"/>
              <w:ind w:firstLine="360"/>
              <w:rPr>
                <w:sz w:val="18"/>
                <w:szCs w:val="18"/>
              </w:rPr>
            </w:pPr>
          </w:p>
        </w:tc>
      </w:tr>
      <w:tr w14:paraId="052CB2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618C892">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198A056F">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03B4A60">
            <w:pPr>
              <w:spacing w:line="360" w:lineRule="exact"/>
              <w:ind w:firstLine="360"/>
              <w:rPr>
                <w:sz w:val="18"/>
                <w:szCs w:val="18"/>
              </w:rPr>
            </w:pPr>
          </w:p>
        </w:tc>
      </w:tr>
    </w:tbl>
    <w:p w14:paraId="03B15487">
      <w:pPr>
        <w:jc w:val="center"/>
        <w:rPr>
          <w:b/>
          <w:bCs/>
          <w:sz w:val="32"/>
          <w:szCs w:val="32"/>
        </w:rPr>
      </w:pPr>
      <w:r>
        <w:rPr>
          <w:b/>
          <w:bCs/>
          <w:sz w:val="28"/>
          <w:szCs w:val="32"/>
        </w:rPr>
        <w:br w:type="page"/>
      </w:r>
      <w:r>
        <w:rPr>
          <w:rFonts w:hint="eastAsia"/>
          <w:b/>
          <w:bCs/>
          <w:sz w:val="28"/>
          <w:szCs w:val="32"/>
        </w:rPr>
        <w:t>目  录</w:t>
      </w:r>
    </w:p>
    <w:p w14:paraId="6597BCD8">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_Toc32120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_Toc32120 \h </w:instrText>
      </w:r>
      <w:r>
        <w:fldChar w:fldCharType="separate"/>
      </w:r>
      <w:r>
        <w:t>3</w:t>
      </w:r>
      <w:r>
        <w:fldChar w:fldCharType="end"/>
      </w:r>
      <w:r>
        <w:rPr>
          <w:caps/>
        </w:rPr>
        <w:fldChar w:fldCharType="end"/>
      </w:r>
    </w:p>
    <w:p w14:paraId="57DF6EB1">
      <w:pPr>
        <w:pStyle w:val="20"/>
        <w:tabs>
          <w:tab w:val="right" w:leader="dot" w:pos="8306"/>
          <w:tab w:val="clear" w:pos="540"/>
          <w:tab w:val="clear" w:pos="840"/>
          <w:tab w:val="clear" w:pos="8222"/>
          <w:tab w:val="clear" w:pos="8296"/>
        </w:tabs>
      </w:pPr>
      <w:r>
        <w:fldChar w:fldCharType="begin"/>
      </w:r>
      <w:r>
        <w:instrText xml:space="preserve"> HYPERLINK \l _Toc346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_Toc346 \h </w:instrText>
      </w:r>
      <w:r>
        <w:fldChar w:fldCharType="separate"/>
      </w:r>
      <w:r>
        <w:t>3</w:t>
      </w:r>
      <w:r>
        <w:fldChar w:fldCharType="end"/>
      </w:r>
      <w:r>
        <w:fldChar w:fldCharType="end"/>
      </w:r>
    </w:p>
    <w:p w14:paraId="17881312">
      <w:pPr>
        <w:pStyle w:val="20"/>
        <w:tabs>
          <w:tab w:val="right" w:leader="dot" w:pos="8306"/>
          <w:tab w:val="clear" w:pos="540"/>
          <w:tab w:val="clear" w:pos="840"/>
          <w:tab w:val="clear" w:pos="8222"/>
          <w:tab w:val="clear" w:pos="8296"/>
        </w:tabs>
      </w:pPr>
      <w:r>
        <w:fldChar w:fldCharType="begin"/>
      </w:r>
      <w:r>
        <w:instrText xml:space="preserve"> HYPERLINK \l _Toc16981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_Toc16981 \h </w:instrText>
      </w:r>
      <w:r>
        <w:fldChar w:fldCharType="separate"/>
      </w:r>
      <w:r>
        <w:t>4</w:t>
      </w:r>
      <w:r>
        <w:fldChar w:fldCharType="end"/>
      </w:r>
      <w:r>
        <w:fldChar w:fldCharType="end"/>
      </w:r>
    </w:p>
    <w:p w14:paraId="059DD9E9">
      <w:pPr>
        <w:pStyle w:val="19"/>
        <w:tabs>
          <w:tab w:val="right" w:leader="dot" w:pos="8306"/>
          <w:tab w:val="clear" w:pos="180"/>
          <w:tab w:val="clear" w:pos="420"/>
          <w:tab w:val="clear" w:pos="8222"/>
        </w:tabs>
      </w:pPr>
      <w:r>
        <w:fldChar w:fldCharType="begin"/>
      </w:r>
      <w:r>
        <w:instrText xml:space="preserve"> HYPERLINK \l _Toc12591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_Toc12591 \h </w:instrText>
      </w:r>
      <w:r>
        <w:fldChar w:fldCharType="separate"/>
      </w:r>
      <w:r>
        <w:t>4</w:t>
      </w:r>
      <w:r>
        <w:fldChar w:fldCharType="end"/>
      </w:r>
      <w:r>
        <w:fldChar w:fldCharType="end"/>
      </w:r>
    </w:p>
    <w:p w14:paraId="1494D248">
      <w:pPr>
        <w:pStyle w:val="19"/>
        <w:tabs>
          <w:tab w:val="right" w:leader="dot" w:pos="8306"/>
          <w:tab w:val="clear" w:pos="180"/>
          <w:tab w:val="clear" w:pos="420"/>
          <w:tab w:val="clear" w:pos="8222"/>
        </w:tabs>
      </w:pPr>
      <w:r>
        <w:fldChar w:fldCharType="begin"/>
      </w:r>
      <w:r>
        <w:instrText xml:space="preserve"> HYPERLINK \l _Toc18485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_Toc18485 \h </w:instrText>
      </w:r>
      <w:r>
        <w:fldChar w:fldCharType="separate"/>
      </w:r>
      <w:r>
        <w:t>5</w:t>
      </w:r>
      <w:r>
        <w:fldChar w:fldCharType="end"/>
      </w:r>
      <w:r>
        <w:fldChar w:fldCharType="end"/>
      </w:r>
    </w:p>
    <w:p w14:paraId="5A90A313">
      <w:pPr>
        <w:pStyle w:val="19"/>
        <w:tabs>
          <w:tab w:val="right" w:leader="dot" w:pos="8306"/>
          <w:tab w:val="clear" w:pos="180"/>
          <w:tab w:val="clear" w:pos="420"/>
          <w:tab w:val="clear" w:pos="8222"/>
        </w:tabs>
      </w:pPr>
      <w:r>
        <w:fldChar w:fldCharType="begin"/>
      </w:r>
      <w:r>
        <w:instrText xml:space="preserve"> HYPERLINK \l _Toc11672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_Toc11672 \h </w:instrText>
      </w:r>
      <w:r>
        <w:fldChar w:fldCharType="separate"/>
      </w:r>
      <w:r>
        <w:t>5</w:t>
      </w:r>
      <w:r>
        <w:fldChar w:fldCharType="end"/>
      </w:r>
      <w:r>
        <w:fldChar w:fldCharType="end"/>
      </w:r>
    </w:p>
    <w:p w14:paraId="18C078E1">
      <w:pPr>
        <w:pStyle w:val="20"/>
        <w:tabs>
          <w:tab w:val="right" w:leader="dot" w:pos="8306"/>
          <w:tab w:val="clear" w:pos="540"/>
          <w:tab w:val="clear" w:pos="840"/>
          <w:tab w:val="clear" w:pos="8222"/>
          <w:tab w:val="clear" w:pos="8296"/>
        </w:tabs>
      </w:pPr>
      <w:r>
        <w:fldChar w:fldCharType="begin"/>
      </w:r>
      <w:r>
        <w:instrText xml:space="preserve"> HYPERLINK \l _Toc15998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_Toc15998 \h </w:instrText>
      </w:r>
      <w:r>
        <w:fldChar w:fldCharType="separate"/>
      </w:r>
      <w:r>
        <w:t>5</w:t>
      </w:r>
      <w:r>
        <w:fldChar w:fldCharType="end"/>
      </w:r>
      <w:r>
        <w:fldChar w:fldCharType="end"/>
      </w:r>
    </w:p>
    <w:p w14:paraId="7AD9A405">
      <w:pPr>
        <w:pStyle w:val="20"/>
        <w:tabs>
          <w:tab w:val="right" w:leader="dot" w:pos="8306"/>
          <w:tab w:val="clear" w:pos="540"/>
          <w:tab w:val="clear" w:pos="840"/>
          <w:tab w:val="clear" w:pos="8222"/>
          <w:tab w:val="clear" w:pos="8296"/>
        </w:tabs>
      </w:pPr>
      <w:r>
        <w:fldChar w:fldCharType="begin"/>
      </w:r>
      <w:r>
        <w:instrText xml:space="preserve"> HYPERLINK \l _Toc18252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_Toc18252 \h </w:instrText>
      </w:r>
      <w:r>
        <w:fldChar w:fldCharType="separate"/>
      </w:r>
      <w:r>
        <w:t>6</w:t>
      </w:r>
      <w:r>
        <w:fldChar w:fldCharType="end"/>
      </w:r>
      <w:r>
        <w:fldChar w:fldCharType="end"/>
      </w:r>
    </w:p>
    <w:p w14:paraId="5AA03784">
      <w:pPr>
        <w:pStyle w:val="20"/>
        <w:tabs>
          <w:tab w:val="right" w:leader="dot" w:pos="8306"/>
          <w:tab w:val="clear" w:pos="540"/>
          <w:tab w:val="clear" w:pos="840"/>
          <w:tab w:val="clear" w:pos="8222"/>
          <w:tab w:val="clear" w:pos="8296"/>
        </w:tabs>
      </w:pPr>
      <w:r>
        <w:fldChar w:fldCharType="begin"/>
      </w:r>
      <w:r>
        <w:instrText xml:space="preserve"> HYPERLINK \l _Toc15953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_Toc15953 \h </w:instrText>
      </w:r>
      <w:r>
        <w:fldChar w:fldCharType="separate"/>
      </w:r>
      <w:r>
        <w:t>8</w:t>
      </w:r>
      <w:r>
        <w:fldChar w:fldCharType="end"/>
      </w:r>
      <w:r>
        <w:fldChar w:fldCharType="end"/>
      </w:r>
    </w:p>
    <w:p w14:paraId="56382026">
      <w:pPr>
        <w:pStyle w:val="20"/>
        <w:tabs>
          <w:tab w:val="right" w:leader="dot" w:pos="8306"/>
          <w:tab w:val="clear" w:pos="540"/>
          <w:tab w:val="clear" w:pos="840"/>
          <w:tab w:val="clear" w:pos="8222"/>
          <w:tab w:val="clear" w:pos="8296"/>
        </w:tabs>
      </w:pPr>
      <w:r>
        <w:fldChar w:fldCharType="begin"/>
      </w:r>
      <w:r>
        <w:instrText xml:space="preserve"> HYPERLINK \l _Toc6436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_Toc6436 \h </w:instrText>
      </w:r>
      <w:r>
        <w:fldChar w:fldCharType="separate"/>
      </w:r>
      <w:r>
        <w:t>10</w:t>
      </w:r>
      <w:r>
        <w:fldChar w:fldCharType="end"/>
      </w:r>
      <w:r>
        <w:fldChar w:fldCharType="end"/>
      </w:r>
    </w:p>
    <w:p w14:paraId="0FE8F869">
      <w:pPr>
        <w:pStyle w:val="20"/>
        <w:tabs>
          <w:tab w:val="right" w:leader="dot" w:pos="8306"/>
          <w:tab w:val="clear" w:pos="540"/>
          <w:tab w:val="clear" w:pos="840"/>
          <w:tab w:val="clear" w:pos="8222"/>
          <w:tab w:val="clear" w:pos="8296"/>
        </w:tabs>
      </w:pPr>
      <w:r>
        <w:fldChar w:fldCharType="begin"/>
      </w:r>
      <w:r>
        <w:instrText xml:space="preserve"> HYPERLINK \l _Toc11380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_Toc11380 \h </w:instrText>
      </w:r>
      <w:r>
        <w:fldChar w:fldCharType="separate"/>
      </w:r>
      <w:r>
        <w:t>10</w:t>
      </w:r>
      <w:r>
        <w:fldChar w:fldCharType="end"/>
      </w:r>
      <w:r>
        <w:fldChar w:fldCharType="end"/>
      </w:r>
    </w:p>
    <w:p w14:paraId="1044B92A">
      <w:pPr>
        <w:pStyle w:val="20"/>
        <w:tabs>
          <w:tab w:val="right" w:leader="dot" w:pos="8306"/>
          <w:tab w:val="clear" w:pos="540"/>
          <w:tab w:val="clear" w:pos="840"/>
          <w:tab w:val="clear" w:pos="8222"/>
          <w:tab w:val="clear" w:pos="8296"/>
        </w:tabs>
      </w:pPr>
      <w:r>
        <w:fldChar w:fldCharType="begin"/>
      </w:r>
      <w:r>
        <w:instrText xml:space="preserve"> HYPERLINK \l _Toc7383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_Toc7383 \h </w:instrText>
      </w:r>
      <w:r>
        <w:fldChar w:fldCharType="separate"/>
      </w:r>
      <w:r>
        <w:t>11</w:t>
      </w:r>
      <w:r>
        <w:fldChar w:fldCharType="end"/>
      </w:r>
      <w:r>
        <w:fldChar w:fldCharType="end"/>
      </w:r>
    </w:p>
    <w:p w14:paraId="17E603F5">
      <w:pPr>
        <w:pStyle w:val="19"/>
        <w:tabs>
          <w:tab w:val="right" w:leader="dot" w:pos="8306"/>
          <w:tab w:val="clear" w:pos="180"/>
          <w:tab w:val="clear" w:pos="420"/>
          <w:tab w:val="clear" w:pos="8222"/>
        </w:tabs>
      </w:pPr>
      <w:r>
        <w:fldChar w:fldCharType="begin"/>
      </w:r>
      <w:r>
        <w:instrText xml:space="preserve"> HYPERLINK \l _Toc19366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_Toc19366 \h </w:instrText>
      </w:r>
      <w:r>
        <w:fldChar w:fldCharType="separate"/>
      </w:r>
      <w:r>
        <w:t>12</w:t>
      </w:r>
      <w:r>
        <w:fldChar w:fldCharType="end"/>
      </w:r>
      <w:r>
        <w:fldChar w:fldCharType="end"/>
      </w:r>
    </w:p>
    <w:p w14:paraId="607F57DF">
      <w:pPr>
        <w:pStyle w:val="20"/>
        <w:tabs>
          <w:tab w:val="right" w:leader="dot" w:pos="8306"/>
          <w:tab w:val="clear" w:pos="540"/>
          <w:tab w:val="clear" w:pos="840"/>
          <w:tab w:val="clear" w:pos="8222"/>
          <w:tab w:val="clear" w:pos="8296"/>
        </w:tabs>
      </w:pPr>
      <w:r>
        <w:fldChar w:fldCharType="begin"/>
      </w:r>
      <w:r>
        <w:instrText xml:space="preserve"> HYPERLINK \l _Toc643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_Toc643 \h </w:instrText>
      </w:r>
      <w:r>
        <w:fldChar w:fldCharType="separate"/>
      </w:r>
      <w:r>
        <w:t>12</w:t>
      </w:r>
      <w:r>
        <w:fldChar w:fldCharType="end"/>
      </w:r>
      <w:r>
        <w:fldChar w:fldCharType="end"/>
      </w:r>
    </w:p>
    <w:p w14:paraId="4DE7E3D1">
      <w:pPr>
        <w:pStyle w:val="20"/>
        <w:tabs>
          <w:tab w:val="right" w:leader="dot" w:pos="8306"/>
          <w:tab w:val="clear" w:pos="540"/>
          <w:tab w:val="clear" w:pos="840"/>
          <w:tab w:val="clear" w:pos="8222"/>
          <w:tab w:val="clear" w:pos="8296"/>
        </w:tabs>
      </w:pPr>
      <w:r>
        <w:fldChar w:fldCharType="begin"/>
      </w:r>
      <w:r>
        <w:instrText xml:space="preserve"> HYPERLINK \l _Toc2683 </w:instrText>
      </w:r>
      <w: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_Toc2683 \h </w:instrText>
      </w:r>
      <w:r>
        <w:fldChar w:fldCharType="separate"/>
      </w:r>
      <w:r>
        <w:t>12</w:t>
      </w:r>
      <w:r>
        <w:fldChar w:fldCharType="end"/>
      </w:r>
      <w:r>
        <w:fldChar w:fldCharType="end"/>
      </w:r>
    </w:p>
    <w:p w14:paraId="7FAB3AA3">
      <w:pPr>
        <w:pStyle w:val="19"/>
        <w:tabs>
          <w:tab w:val="right" w:leader="dot" w:pos="8306"/>
          <w:tab w:val="clear" w:pos="180"/>
          <w:tab w:val="clear" w:pos="420"/>
          <w:tab w:val="clear" w:pos="8222"/>
        </w:tabs>
      </w:pPr>
      <w:r>
        <w:fldChar w:fldCharType="begin"/>
      </w:r>
      <w:r>
        <w:instrText xml:space="preserve"> HYPERLINK \l _Toc18837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_Toc18837 \h </w:instrText>
      </w:r>
      <w:r>
        <w:fldChar w:fldCharType="separate"/>
      </w:r>
      <w:r>
        <w:t>17</w:t>
      </w:r>
      <w:r>
        <w:fldChar w:fldCharType="end"/>
      </w:r>
      <w:r>
        <w:fldChar w:fldCharType="end"/>
      </w:r>
    </w:p>
    <w:p w14:paraId="19587D2C">
      <w:pPr>
        <w:pStyle w:val="20"/>
        <w:tabs>
          <w:tab w:val="right" w:leader="dot" w:pos="8306"/>
          <w:tab w:val="clear" w:pos="540"/>
          <w:tab w:val="clear" w:pos="840"/>
          <w:tab w:val="clear" w:pos="8222"/>
          <w:tab w:val="clear" w:pos="8296"/>
        </w:tabs>
      </w:pPr>
      <w:r>
        <w:fldChar w:fldCharType="begin"/>
      </w:r>
      <w:r>
        <w:instrText xml:space="preserve"> HYPERLINK \l _Toc12595 </w:instrText>
      </w:r>
      <w: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_Toc12595 \h </w:instrText>
      </w:r>
      <w:r>
        <w:fldChar w:fldCharType="separate"/>
      </w:r>
      <w:r>
        <w:t>17</w:t>
      </w:r>
      <w:r>
        <w:fldChar w:fldCharType="end"/>
      </w:r>
      <w:r>
        <w:fldChar w:fldCharType="end"/>
      </w:r>
    </w:p>
    <w:p w14:paraId="22C5D862">
      <w:pPr>
        <w:pStyle w:val="19"/>
        <w:tabs>
          <w:tab w:val="right" w:leader="dot" w:pos="8306"/>
          <w:tab w:val="clear" w:pos="180"/>
          <w:tab w:val="clear" w:pos="420"/>
          <w:tab w:val="clear" w:pos="8222"/>
        </w:tabs>
      </w:pPr>
      <w:r>
        <w:fldChar w:fldCharType="begin"/>
      </w:r>
      <w:r>
        <w:instrText xml:space="preserve"> HYPERLINK \l _Toc19914 </w:instrText>
      </w:r>
      <w: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_Toc19914 \h </w:instrText>
      </w:r>
      <w:r>
        <w:fldChar w:fldCharType="separate"/>
      </w:r>
      <w:r>
        <w:t>18</w:t>
      </w:r>
      <w:r>
        <w:fldChar w:fldCharType="end"/>
      </w:r>
      <w:r>
        <w:fldChar w:fldCharType="end"/>
      </w:r>
    </w:p>
    <w:p w14:paraId="714C42D5">
      <w:pPr>
        <w:pStyle w:val="20"/>
        <w:tabs>
          <w:tab w:val="right" w:leader="dot" w:pos="8306"/>
          <w:tab w:val="clear" w:pos="540"/>
          <w:tab w:val="clear" w:pos="840"/>
          <w:tab w:val="clear" w:pos="8222"/>
          <w:tab w:val="clear" w:pos="8296"/>
        </w:tabs>
      </w:pPr>
      <w:r>
        <w:fldChar w:fldCharType="begin"/>
      </w:r>
      <w:r>
        <w:instrText xml:space="preserve"> HYPERLINK \l _Toc30502 </w:instrText>
      </w:r>
      <w: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_Toc30502 \h </w:instrText>
      </w:r>
      <w:r>
        <w:fldChar w:fldCharType="separate"/>
      </w:r>
      <w:r>
        <w:t>18</w:t>
      </w:r>
      <w:r>
        <w:fldChar w:fldCharType="end"/>
      </w:r>
      <w:r>
        <w:fldChar w:fldCharType="end"/>
      </w:r>
    </w:p>
    <w:p w14:paraId="3B622CE0">
      <w:pPr>
        <w:pStyle w:val="20"/>
        <w:tabs>
          <w:tab w:val="right" w:leader="dot" w:pos="8306"/>
          <w:tab w:val="clear" w:pos="540"/>
          <w:tab w:val="clear" w:pos="840"/>
          <w:tab w:val="clear" w:pos="8222"/>
          <w:tab w:val="clear" w:pos="8296"/>
        </w:tabs>
      </w:pPr>
      <w:r>
        <w:fldChar w:fldCharType="begin"/>
      </w:r>
      <w:r>
        <w:instrText xml:space="preserve"> HYPERLINK \l _Toc20831 </w:instrText>
      </w:r>
      <w: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_Toc20831 \h </w:instrText>
      </w:r>
      <w:r>
        <w:fldChar w:fldCharType="separate"/>
      </w:r>
      <w:r>
        <w:t>18</w:t>
      </w:r>
      <w:r>
        <w:fldChar w:fldCharType="end"/>
      </w:r>
      <w:r>
        <w:fldChar w:fldCharType="end"/>
      </w:r>
    </w:p>
    <w:p w14:paraId="1C3FAFA8">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7EBF10D4">
      <w:pPr>
        <w:pStyle w:val="2"/>
        <w:rPr>
          <w:rFonts w:ascii="微软雅黑" w:hAnsi="微软雅黑"/>
        </w:rPr>
      </w:pPr>
      <w:bookmarkStart w:id="12" w:name="_Toc452108759"/>
      <w:bookmarkStart w:id="13" w:name="_Toc32120"/>
      <w:r>
        <w:rPr>
          <w:rFonts w:hint="eastAsia" w:ascii="微软雅黑" w:hAnsi="微软雅黑"/>
        </w:rPr>
        <w:t>项目概况</w:t>
      </w:r>
      <w:bookmarkEnd w:id="12"/>
      <w:bookmarkEnd w:id="13"/>
    </w:p>
    <w:p w14:paraId="6D8AA270">
      <w:pPr>
        <w:ind w:firstLine="424" w:firstLineChars="202"/>
        <w:rPr>
          <w:lang w:val="en-US"/>
        </w:rPr>
      </w:pPr>
      <w:bookmarkStart w:id="14" w:name="项目概况"/>
      <w:bookmarkEnd w:id="14"/>
    </w:p>
    <w:p w14:paraId="02C1730A">
      <w:pPr>
        <w:pStyle w:val="3"/>
        <w:ind w:firstLine="420"/>
        <w:rPr>
          <w:rFonts w:ascii="微软雅黑" w:hAnsi="微软雅黑" w:eastAsia="微软雅黑"/>
          <w:lang w:val="en-US"/>
        </w:rPr>
      </w:pPr>
    </w:p>
    <w:p w14:paraId="3C45DB77">
      <w:pPr>
        <w:pStyle w:val="4"/>
      </w:pPr>
      <w:bookmarkStart w:id="15" w:name="_Toc452108760"/>
      <w:bookmarkStart w:id="16" w:name="_Toc346"/>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7449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0BCF81DA">
            <w:pPr>
              <w:pStyle w:val="3"/>
              <w:spacing w:line="240" w:lineRule="auto"/>
              <w:ind w:firstLine="0" w:firstLineChars="0"/>
              <w:jc w:val="center"/>
              <w:rPr>
                <w:rFonts w:ascii="微软雅黑" w:hAnsi="微软雅黑" w:eastAsia="微软雅黑"/>
                <w:lang w:val="en-US"/>
              </w:rPr>
            </w:pPr>
          </w:p>
        </w:tc>
        <w:tc>
          <w:tcPr>
            <w:tcW w:w="1185" w:type="dxa"/>
            <w:vAlign w:val="center"/>
          </w:tcPr>
          <w:p w14:paraId="1259827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590CADC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106B8E24">
            <w:pPr>
              <w:pStyle w:val="3"/>
              <w:spacing w:line="220" w:lineRule="exact"/>
              <w:ind w:firstLine="0" w:firstLineChars="0"/>
              <w:jc w:val="center"/>
              <w:rPr>
                <w:rFonts w:ascii="微软雅黑" w:hAnsi="微软雅黑" w:eastAsia="微软雅黑"/>
                <w:lang w:val="en-US"/>
              </w:rPr>
            </w:pPr>
          </w:p>
        </w:tc>
        <w:tc>
          <w:tcPr>
            <w:tcW w:w="1407" w:type="dxa"/>
            <w:vAlign w:val="center"/>
          </w:tcPr>
          <w:p w14:paraId="6A85AE2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9BED0C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651F4A51">
            <w:pPr>
              <w:pStyle w:val="3"/>
              <w:spacing w:line="240" w:lineRule="auto"/>
              <w:ind w:firstLine="0" w:firstLineChars="0"/>
              <w:jc w:val="center"/>
              <w:rPr>
                <w:rFonts w:ascii="微软雅黑" w:hAnsi="微软雅黑" w:eastAsia="微软雅黑"/>
                <w:lang w:val="en-US"/>
              </w:rPr>
            </w:pPr>
          </w:p>
        </w:tc>
        <w:tc>
          <w:tcPr>
            <w:tcW w:w="1408" w:type="dxa"/>
            <w:vAlign w:val="center"/>
          </w:tcPr>
          <w:p w14:paraId="4D0D549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8171760">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7A89702D">
            <w:pPr>
              <w:pStyle w:val="3"/>
              <w:spacing w:line="240" w:lineRule="auto"/>
              <w:ind w:firstLine="0" w:firstLineChars="0"/>
              <w:jc w:val="center"/>
              <w:rPr>
                <w:rFonts w:ascii="微软雅黑" w:hAnsi="微软雅黑" w:eastAsia="微软雅黑"/>
                <w:lang w:val="en-US"/>
              </w:rPr>
            </w:pPr>
          </w:p>
        </w:tc>
        <w:tc>
          <w:tcPr>
            <w:tcW w:w="1266" w:type="dxa"/>
            <w:vAlign w:val="center"/>
          </w:tcPr>
          <w:p w14:paraId="5C44152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0B8AB9C">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7812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41CDED39">
            <w:pPr>
              <w:pStyle w:val="3"/>
              <w:spacing w:line="240" w:lineRule="auto"/>
              <w:ind w:firstLine="0" w:firstLineChars="0"/>
              <w:jc w:val="center"/>
              <w:rPr>
                <w:rFonts w:ascii="微软雅黑" w:hAnsi="微软雅黑" w:eastAsia="微软雅黑"/>
                <w:lang w:val="en-US"/>
              </w:rPr>
            </w:pPr>
          </w:p>
        </w:tc>
        <w:tc>
          <w:tcPr>
            <w:tcW w:w="1185" w:type="dxa"/>
            <w:vAlign w:val="center"/>
          </w:tcPr>
          <w:p w14:paraId="5457B9B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2B46CBE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52741D7B">
            <w:pPr>
              <w:pStyle w:val="3"/>
              <w:spacing w:line="220" w:lineRule="exact"/>
              <w:ind w:firstLine="0" w:firstLineChars="0"/>
              <w:jc w:val="center"/>
              <w:rPr>
                <w:rFonts w:ascii="微软雅黑" w:hAnsi="微软雅黑" w:eastAsia="微软雅黑"/>
                <w:lang w:val="en-US"/>
              </w:rPr>
            </w:pPr>
          </w:p>
        </w:tc>
        <w:tc>
          <w:tcPr>
            <w:tcW w:w="1407" w:type="dxa"/>
            <w:vAlign w:val="center"/>
          </w:tcPr>
          <w:p w14:paraId="2350C00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7DBB392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61D61914">
            <w:pPr>
              <w:pStyle w:val="3"/>
              <w:spacing w:line="240" w:lineRule="auto"/>
              <w:ind w:firstLine="0" w:firstLineChars="0"/>
              <w:jc w:val="center"/>
              <w:rPr>
                <w:rFonts w:ascii="微软雅黑" w:hAnsi="微软雅黑" w:eastAsia="微软雅黑"/>
                <w:lang w:val="en-US"/>
              </w:rPr>
            </w:pPr>
          </w:p>
        </w:tc>
        <w:tc>
          <w:tcPr>
            <w:tcW w:w="1408" w:type="dxa"/>
            <w:vAlign w:val="center"/>
          </w:tcPr>
          <w:p w14:paraId="0C3D0E6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2B8150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4E07A30B">
            <w:pPr>
              <w:pStyle w:val="3"/>
              <w:spacing w:line="240" w:lineRule="auto"/>
              <w:ind w:firstLine="0" w:firstLineChars="0"/>
              <w:jc w:val="center"/>
              <w:rPr>
                <w:rFonts w:ascii="微软雅黑" w:hAnsi="微软雅黑" w:eastAsia="微软雅黑"/>
                <w:lang w:val="en-US"/>
              </w:rPr>
            </w:pPr>
          </w:p>
        </w:tc>
        <w:tc>
          <w:tcPr>
            <w:tcW w:w="1266" w:type="dxa"/>
            <w:vAlign w:val="center"/>
          </w:tcPr>
          <w:p w14:paraId="6193DDB5">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615F2674">
      <w:pPr>
        <w:pStyle w:val="3"/>
        <w:ind w:firstLine="0" w:firstLineChars="0"/>
        <w:jc w:val="center"/>
        <w:rPr>
          <w:rFonts w:ascii="微软雅黑" w:hAnsi="微软雅黑" w:eastAsia="微软雅黑"/>
          <w:lang w:val="en-US"/>
        </w:rPr>
      </w:pPr>
    </w:p>
    <w:p w14:paraId="1251765B">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781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05531199">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171FD4A0">
      <w:pPr>
        <w:pStyle w:val="3"/>
        <w:ind w:firstLine="420"/>
        <w:rPr>
          <w:rFonts w:ascii="微软雅黑" w:hAnsi="微软雅黑" w:eastAsia="微软雅黑"/>
          <w:lang w:val="en-US"/>
        </w:rPr>
      </w:pPr>
    </w:p>
    <w:p w14:paraId="35CC5E22">
      <w:pPr>
        <w:pStyle w:val="4"/>
      </w:pPr>
      <w:bookmarkStart w:id="18" w:name="_Toc452108761"/>
      <w:bookmarkStart w:id="19" w:name="_Toc16981"/>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173B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48EC3229">
            <w:pPr>
              <w:pStyle w:val="3"/>
              <w:spacing w:line="240" w:lineRule="auto"/>
              <w:ind w:firstLine="0" w:firstLineChars="0"/>
              <w:jc w:val="center"/>
              <w:rPr>
                <w:rFonts w:ascii="微软雅黑" w:hAnsi="微软雅黑" w:eastAsia="微软雅黑"/>
                <w:lang w:val="en-US"/>
              </w:rPr>
            </w:pPr>
          </w:p>
        </w:tc>
        <w:tc>
          <w:tcPr>
            <w:tcW w:w="1185" w:type="dxa"/>
            <w:vAlign w:val="center"/>
          </w:tcPr>
          <w:p w14:paraId="4D2C0E7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2F81EE9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52C57D3C">
            <w:pPr>
              <w:pStyle w:val="3"/>
              <w:spacing w:line="220" w:lineRule="exact"/>
              <w:ind w:firstLine="0" w:firstLineChars="0"/>
              <w:jc w:val="center"/>
              <w:rPr>
                <w:rFonts w:ascii="微软雅黑" w:hAnsi="微软雅黑" w:eastAsia="微软雅黑"/>
                <w:lang w:val="en-US"/>
              </w:rPr>
            </w:pPr>
          </w:p>
        </w:tc>
        <w:tc>
          <w:tcPr>
            <w:tcW w:w="1407" w:type="dxa"/>
            <w:vAlign w:val="center"/>
          </w:tcPr>
          <w:p w14:paraId="174AC32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73EEC42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65E6C1B2">
            <w:pPr>
              <w:pStyle w:val="3"/>
              <w:spacing w:line="240" w:lineRule="auto"/>
              <w:ind w:firstLine="0" w:firstLineChars="0"/>
              <w:jc w:val="center"/>
              <w:rPr>
                <w:rFonts w:ascii="微软雅黑" w:hAnsi="微软雅黑" w:eastAsia="微软雅黑"/>
                <w:lang w:val="en-US"/>
              </w:rPr>
            </w:pPr>
          </w:p>
        </w:tc>
        <w:tc>
          <w:tcPr>
            <w:tcW w:w="1408" w:type="dxa"/>
            <w:vAlign w:val="center"/>
          </w:tcPr>
          <w:p w14:paraId="770C926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2D972BE">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454F000F">
            <w:pPr>
              <w:pStyle w:val="3"/>
              <w:spacing w:line="240" w:lineRule="auto"/>
              <w:ind w:firstLine="0" w:firstLineChars="0"/>
              <w:jc w:val="center"/>
              <w:rPr>
                <w:rFonts w:ascii="微软雅黑" w:hAnsi="微软雅黑" w:eastAsia="微软雅黑"/>
                <w:lang w:val="en-US"/>
              </w:rPr>
            </w:pPr>
          </w:p>
        </w:tc>
        <w:tc>
          <w:tcPr>
            <w:tcW w:w="1266" w:type="dxa"/>
            <w:vAlign w:val="center"/>
          </w:tcPr>
          <w:p w14:paraId="31910A9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6237496C">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7415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3A17F5DC">
            <w:pPr>
              <w:pStyle w:val="3"/>
              <w:spacing w:line="240" w:lineRule="auto"/>
              <w:ind w:firstLine="0" w:firstLineChars="0"/>
              <w:jc w:val="center"/>
              <w:rPr>
                <w:rFonts w:ascii="微软雅黑" w:hAnsi="微软雅黑" w:eastAsia="微软雅黑"/>
                <w:lang w:val="en-US"/>
              </w:rPr>
            </w:pPr>
          </w:p>
        </w:tc>
        <w:tc>
          <w:tcPr>
            <w:tcW w:w="1185" w:type="dxa"/>
            <w:vAlign w:val="center"/>
          </w:tcPr>
          <w:p w14:paraId="73EA1F9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03428C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02E56FC9">
            <w:pPr>
              <w:pStyle w:val="3"/>
              <w:spacing w:line="220" w:lineRule="exact"/>
              <w:ind w:firstLine="0" w:firstLineChars="0"/>
              <w:jc w:val="center"/>
              <w:rPr>
                <w:rFonts w:ascii="微软雅黑" w:hAnsi="微软雅黑" w:eastAsia="微软雅黑"/>
                <w:lang w:val="en-US"/>
              </w:rPr>
            </w:pPr>
          </w:p>
        </w:tc>
        <w:tc>
          <w:tcPr>
            <w:tcW w:w="1407" w:type="dxa"/>
            <w:vAlign w:val="center"/>
          </w:tcPr>
          <w:p w14:paraId="0DFAEF6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066FD53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6837A95B">
            <w:pPr>
              <w:pStyle w:val="3"/>
              <w:spacing w:line="240" w:lineRule="auto"/>
              <w:ind w:firstLine="0" w:firstLineChars="0"/>
              <w:jc w:val="center"/>
              <w:rPr>
                <w:rFonts w:ascii="微软雅黑" w:hAnsi="微软雅黑" w:eastAsia="微软雅黑"/>
                <w:lang w:val="en-US"/>
              </w:rPr>
            </w:pPr>
          </w:p>
        </w:tc>
        <w:tc>
          <w:tcPr>
            <w:tcW w:w="1408" w:type="dxa"/>
            <w:vAlign w:val="center"/>
          </w:tcPr>
          <w:p w14:paraId="278CB81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7E6491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40348DB8">
            <w:pPr>
              <w:pStyle w:val="3"/>
              <w:spacing w:line="240" w:lineRule="auto"/>
              <w:ind w:firstLine="0" w:firstLineChars="0"/>
              <w:jc w:val="center"/>
              <w:rPr>
                <w:rFonts w:ascii="微软雅黑" w:hAnsi="微软雅黑" w:eastAsia="微软雅黑"/>
                <w:lang w:val="en-US"/>
              </w:rPr>
            </w:pPr>
          </w:p>
        </w:tc>
        <w:tc>
          <w:tcPr>
            <w:tcW w:w="1266" w:type="dxa"/>
            <w:vAlign w:val="center"/>
          </w:tcPr>
          <w:p w14:paraId="316EAFAA">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72BE892">
      <w:pPr>
        <w:pStyle w:val="3"/>
        <w:ind w:firstLine="0" w:firstLineChars="0"/>
        <w:jc w:val="center"/>
        <w:rPr>
          <w:rFonts w:ascii="微软雅黑" w:hAnsi="微软雅黑" w:eastAsia="微软雅黑"/>
          <w:lang w:val="en-US"/>
        </w:rPr>
      </w:pPr>
    </w:p>
    <w:p w14:paraId="17FA0040">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8004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3D7151DE">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61F6F924">
      <w:pPr>
        <w:pStyle w:val="3"/>
        <w:ind w:firstLine="0" w:firstLineChars="0"/>
        <w:rPr>
          <w:rFonts w:ascii="微软雅黑" w:hAnsi="微软雅黑" w:eastAsia="微软雅黑"/>
          <w:lang w:val="en-US"/>
        </w:rPr>
      </w:pPr>
    </w:p>
    <w:p w14:paraId="3DBDCBBE">
      <w:pPr>
        <w:pStyle w:val="2"/>
        <w:rPr>
          <w:rFonts w:ascii="微软雅黑" w:hAnsi="微软雅黑"/>
        </w:rPr>
      </w:pPr>
      <w:bookmarkStart w:id="21" w:name="_Toc452108762"/>
      <w:bookmarkStart w:id="22" w:name="TitleFormat"/>
      <w:bookmarkStart w:id="23" w:name="_Toc12591"/>
      <w:r>
        <w:rPr>
          <w:rFonts w:hint="eastAsia" w:ascii="微软雅黑" w:hAnsi="微软雅黑"/>
        </w:rPr>
        <w:t>计算</w:t>
      </w:r>
      <w:r>
        <w:rPr>
          <w:rFonts w:ascii="微软雅黑" w:hAnsi="微软雅黑"/>
        </w:rPr>
        <w:t>依据</w:t>
      </w:r>
      <w:bookmarkEnd w:id="21"/>
      <w:bookmarkEnd w:id="22"/>
      <w:bookmarkEnd w:id="23"/>
    </w:p>
    <w:p w14:paraId="54E01387">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26EF0566">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bookmarkEnd w:id="24"/>
    </w:p>
    <w:p w14:paraId="4E57A416">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4E86FB11">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F6848B4">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21A9C64">
      <w:pPr>
        <w:pStyle w:val="2"/>
        <w:rPr>
          <w:rFonts w:ascii="微软雅黑" w:hAnsi="微软雅黑"/>
        </w:rPr>
      </w:pPr>
      <w:bookmarkStart w:id="25" w:name="_Toc452108763"/>
      <w:bookmarkStart w:id="26" w:name="_Toc18485"/>
      <w:r>
        <w:rPr>
          <w:rFonts w:hint="eastAsia" w:ascii="微软雅黑" w:hAnsi="微软雅黑"/>
        </w:rPr>
        <w:t>参考</w:t>
      </w:r>
      <w:r>
        <w:rPr>
          <w:rFonts w:ascii="微软雅黑" w:hAnsi="微软雅黑"/>
        </w:rPr>
        <w:t>标准</w:t>
      </w:r>
      <w:bookmarkEnd w:id="25"/>
      <w:bookmarkEnd w:id="26"/>
    </w:p>
    <w:p w14:paraId="01652FCB">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217F63C7">
      <w:pPr>
        <w:pStyle w:val="3"/>
        <w:ind w:firstLine="420"/>
        <w:rPr>
          <w:rFonts w:ascii="微软雅黑" w:hAnsi="微软雅黑" w:eastAsia="微软雅黑"/>
          <w:lang w:val="en-US"/>
        </w:rPr>
      </w:pPr>
      <w:bookmarkStart w:id="28" w:name="_Toc452108764"/>
      <w:bookmarkStart w:id="29" w:name="_Toc451698935"/>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37A6F5AB">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3E5E15C6">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1E803322">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5E03013C">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1EA9E908">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454AE819">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1BE9586B">
      <w:pPr>
        <w:pStyle w:val="2"/>
        <w:rPr>
          <w:rFonts w:ascii="微软雅黑" w:hAnsi="微软雅黑"/>
        </w:rPr>
      </w:pPr>
      <w:bookmarkStart w:id="35" w:name="_Toc11672"/>
      <w:r>
        <w:rPr>
          <w:rFonts w:hint="eastAsia" w:ascii="微软雅黑" w:hAnsi="微软雅黑"/>
        </w:rPr>
        <w:t>计算原理</w:t>
      </w:r>
      <w:bookmarkEnd w:id="28"/>
      <w:bookmarkEnd w:id="29"/>
      <w:bookmarkEnd w:id="35"/>
    </w:p>
    <w:p w14:paraId="7BED67D1">
      <w:pPr>
        <w:pStyle w:val="4"/>
        <w:numPr>
          <w:ilvl w:val="1"/>
          <w:numId w:val="3"/>
        </w:numPr>
      </w:pPr>
      <w:bookmarkStart w:id="36" w:name="_Toc509844740"/>
      <w:bookmarkStart w:id="37" w:name="_Toc15998"/>
      <w:bookmarkStart w:id="38" w:name="_Toc451698937"/>
      <w:bookmarkStart w:id="39" w:name="_Toc452108765"/>
      <w:r>
        <w:rPr>
          <w:rFonts w:hint="eastAsia"/>
        </w:rPr>
        <w:t>风场计算域</w:t>
      </w:r>
      <w:bookmarkEnd w:id="36"/>
      <w:bookmarkEnd w:id="37"/>
    </w:p>
    <w:p w14:paraId="4C7809BB">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5FC71167">
      <w:pPr>
        <w:pStyle w:val="5"/>
        <w:numPr>
          <w:ilvl w:val="2"/>
          <w:numId w:val="4"/>
        </w:numPr>
      </w:pPr>
      <w:bookmarkStart w:id="40" w:name="季节1"/>
      <w:r>
        <w:rPr>
          <w:rFonts w:hint="eastAsia"/>
        </w:rPr>
        <w:t>冬季</w:t>
      </w:r>
      <w:bookmarkEnd w:id="40"/>
      <w:r>
        <w:rPr>
          <w:rFonts w:hint="eastAsia"/>
        </w:rPr>
        <w:t>工况风场计算域</w:t>
      </w:r>
    </w:p>
    <w:p w14:paraId="4E39FA4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冬季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7ADD8015">
        <w:tblPrEx>
          <w:tblCellMar>
            <w:top w:w="0" w:type="dxa"/>
            <w:left w:w="108" w:type="dxa"/>
            <w:bottom w:w="0" w:type="dxa"/>
            <w:right w:w="108" w:type="dxa"/>
          </w:tblCellMar>
        </w:tblPrEx>
        <w:trPr>
          <w:jc w:val="center"/>
        </w:trPr>
        <w:tc>
          <w:tcPr>
            <w:tcW w:w="2765" w:type="dxa"/>
          </w:tcPr>
          <w:p w14:paraId="624F891C">
            <w:pPr>
              <w:jc w:val="center"/>
            </w:pPr>
            <w:r>
              <w:rPr>
                <w:rFonts w:hint="eastAsia"/>
              </w:rPr>
              <w:t>顺风方向尺寸（m）</w:t>
            </w:r>
          </w:p>
        </w:tc>
        <w:tc>
          <w:tcPr>
            <w:tcW w:w="2765" w:type="dxa"/>
          </w:tcPr>
          <w:p w14:paraId="3C3C3F49">
            <w:pPr>
              <w:jc w:val="center"/>
            </w:pPr>
            <w:r>
              <w:rPr>
                <w:rFonts w:hint="eastAsia"/>
              </w:rPr>
              <w:t>宽度方向尺寸（m）</w:t>
            </w:r>
          </w:p>
        </w:tc>
        <w:tc>
          <w:tcPr>
            <w:tcW w:w="2766" w:type="dxa"/>
          </w:tcPr>
          <w:p w14:paraId="3923C48B">
            <w:pPr>
              <w:jc w:val="center"/>
            </w:pPr>
            <w:r>
              <w:rPr>
                <w:rFonts w:hint="eastAsia"/>
              </w:rPr>
              <w:t>高度方向尺寸（m）</w:t>
            </w:r>
          </w:p>
        </w:tc>
      </w:tr>
      <w:tr w14:paraId="56F8D386">
        <w:tblPrEx>
          <w:tblCellMar>
            <w:top w:w="0" w:type="dxa"/>
            <w:left w:w="108" w:type="dxa"/>
            <w:bottom w:w="0" w:type="dxa"/>
            <w:right w:w="108" w:type="dxa"/>
          </w:tblCellMar>
        </w:tblPrEx>
        <w:trPr>
          <w:jc w:val="center"/>
        </w:trPr>
        <w:tc>
          <w:tcPr>
            <w:tcW w:w="2765" w:type="dxa"/>
          </w:tcPr>
          <w:p w14:paraId="3156108F">
            <w:pPr>
              <w:jc w:val="center"/>
            </w:pPr>
            <w:bookmarkStart w:id="42" w:name="冬季风场X尺寸"/>
            <w:r>
              <w:t>517</w:t>
            </w:r>
            <w:bookmarkEnd w:id="42"/>
          </w:p>
        </w:tc>
        <w:tc>
          <w:tcPr>
            <w:tcW w:w="2765" w:type="dxa"/>
          </w:tcPr>
          <w:p w14:paraId="06BC7677">
            <w:pPr>
              <w:jc w:val="center"/>
            </w:pPr>
            <w:bookmarkStart w:id="43" w:name="冬季风场Y尺寸"/>
            <w:r>
              <w:t>510</w:t>
            </w:r>
            <w:bookmarkEnd w:id="43"/>
          </w:p>
        </w:tc>
        <w:tc>
          <w:tcPr>
            <w:tcW w:w="2766" w:type="dxa"/>
          </w:tcPr>
          <w:p w14:paraId="1A5828C9">
            <w:pPr>
              <w:jc w:val="center"/>
            </w:pPr>
            <w:bookmarkStart w:id="44" w:name="冬季风场Z尺寸"/>
            <w:r>
              <w:t>150</w:t>
            </w:r>
            <w:bookmarkEnd w:id="44"/>
          </w:p>
        </w:tc>
      </w:tr>
    </w:tbl>
    <w:p w14:paraId="76D00AD2">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6099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0DF0E154">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冬季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3D2B220E">
      <w:pPr>
        <w:pStyle w:val="3"/>
        <w:ind w:firstLine="315" w:firstLineChars="150"/>
        <w:rPr>
          <w:rFonts w:ascii="微软雅黑" w:hAnsi="微软雅黑" w:eastAsia="微软雅黑"/>
          <w:lang w:val="en-US"/>
        </w:rPr>
      </w:pPr>
      <w:bookmarkStart w:id="47" w:name="计算域"/>
      <w:bookmarkEnd w:id="47"/>
    </w:p>
    <w:p w14:paraId="21E0829D">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3C17D408">
      <w:pPr>
        <w:pStyle w:val="4"/>
      </w:pPr>
      <w:bookmarkStart w:id="48" w:name="_Toc509844741"/>
      <w:bookmarkStart w:id="49" w:name="_Toc18252"/>
      <w:r>
        <w:rPr>
          <w:rFonts w:hint="eastAsia"/>
        </w:rPr>
        <w:t>网格划分</w:t>
      </w:r>
      <w:bookmarkEnd w:id="48"/>
      <w:bookmarkEnd w:id="49"/>
    </w:p>
    <w:p w14:paraId="6F726B9B">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72950C9B">
      <w:pPr>
        <w:pStyle w:val="12"/>
        <w:spacing w:before="156"/>
        <w:ind w:left="426" w:firstLine="0"/>
        <w:rPr>
          <w:rFonts w:ascii="微软雅黑"/>
        </w:rPr>
      </w:pPr>
      <w:r>
        <w:rPr>
          <w:rFonts w:hint="eastAsia" w:ascii="微软雅黑"/>
        </w:rPr>
        <w:t>1）一般网格：指除靠近地面和建筑以外的网格，通常不需要特别加密处理</w:t>
      </w:r>
    </w:p>
    <w:p w14:paraId="49AF866D">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512123F3">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7913E5F7">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4C8BFF64">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163BF0AE">
      <w:pPr>
        <w:pStyle w:val="12"/>
        <w:spacing w:before="156"/>
        <w:ind w:left="0" w:firstLine="315" w:firstLineChars="150"/>
        <w:rPr>
          <w:rFonts w:ascii="微软雅黑"/>
        </w:rPr>
      </w:pPr>
      <w:r>
        <w:rPr>
          <w:rFonts w:hint="eastAsia" w:ascii="微软雅黑"/>
        </w:rPr>
        <w:t>2）地面网格</w:t>
      </w:r>
    </w:p>
    <w:p w14:paraId="0C6A0EE7">
      <w:pPr>
        <w:pStyle w:val="12"/>
        <w:spacing w:before="156"/>
        <w:ind w:firstLine="315" w:firstLineChars="150"/>
        <w:rPr>
          <w:rFonts w:ascii="微软雅黑"/>
        </w:rPr>
      </w:pPr>
      <w:r>
        <w:rPr>
          <w:rFonts w:hint="eastAsia" w:ascii="微软雅黑"/>
        </w:rPr>
        <w:t>靠近建筑物的区域称为近场，远离建筑物的区域称为远场。</w:t>
      </w:r>
    </w:p>
    <w:p w14:paraId="764DB2C8">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37A52073">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3153A546">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w:t>
      </w:r>
      <w:bookmarkEnd w:id="4"/>
      <w:r>
        <w:rPr>
          <w:rFonts w:hint="eastAsia" w:ascii="微软雅黑" w:hAnsi="微软雅黑" w:eastAsia="微软雅黑"/>
          <w:sz w:val="18"/>
          <w:szCs w:val="18"/>
        </w:rPr>
        <w:t>网格划分信息</w:t>
      </w:r>
    </w:p>
    <w:bookmarkEnd w:id="1"/>
    <w:bookmarkEnd w:id="2"/>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13FAA270">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586F33F">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05E207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8E00CF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25F14129">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1F11F4E1">
            <w:pPr>
              <w:spacing w:line="400" w:lineRule="exact"/>
              <w:jc w:val="center"/>
              <w:rPr>
                <w:rFonts w:ascii="微软雅黑" w:hAnsi="微软雅黑" w:eastAsia="微软雅黑"/>
                <w:sz w:val="18"/>
                <w:szCs w:val="18"/>
                <w:lang w:val="en-US"/>
              </w:rPr>
            </w:pPr>
            <w:bookmarkStart w:id="51" w:name="冬季网格总数"/>
            <w:r>
              <w:t>537581</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8FFD00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54C19E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7E893A67">
            <w:pPr>
              <w:spacing w:line="400" w:lineRule="exact"/>
              <w:jc w:val="center"/>
              <w:rPr>
                <w:rFonts w:ascii="微软雅黑" w:hAnsi="微软雅黑" w:eastAsia="微软雅黑"/>
                <w:sz w:val="18"/>
                <w:szCs w:val="18"/>
                <w:lang w:val="en-US"/>
              </w:rPr>
            </w:pPr>
            <w:bookmarkStart w:id="52" w:name="冬季分弧精度"/>
            <w:r>
              <w:t>0.24</w:t>
            </w:r>
            <w:bookmarkEnd w:id="52"/>
          </w:p>
        </w:tc>
      </w:tr>
      <w:tr w14:paraId="0737550E">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53B71BD8">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26447EF">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90A4F3B">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60B7792">
            <w:pPr>
              <w:spacing w:line="400" w:lineRule="exact"/>
              <w:jc w:val="center"/>
              <w:rPr>
                <w:rFonts w:ascii="微软雅黑" w:hAnsi="微软雅黑" w:eastAsia="微软雅黑"/>
                <w:sz w:val="18"/>
                <w:szCs w:val="18"/>
                <w:lang w:val="en-US"/>
              </w:rPr>
            </w:pPr>
            <w:bookmarkStart w:id="53" w:name="最大网格尺寸"/>
            <w:r>
              <w:t>16.0</w:t>
            </w:r>
            <w:bookmarkEnd w:id="53"/>
          </w:p>
        </w:tc>
      </w:tr>
      <w:tr w14:paraId="4F3E9D55">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5BF09A72">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20462B4">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85A1EB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E73ECBA">
            <w:pPr>
              <w:spacing w:line="400" w:lineRule="exact"/>
              <w:jc w:val="center"/>
              <w:rPr>
                <w:rFonts w:ascii="微软雅黑" w:hAnsi="微软雅黑" w:eastAsia="微软雅黑"/>
                <w:sz w:val="18"/>
                <w:szCs w:val="18"/>
                <w:lang w:val="en-US"/>
              </w:rPr>
            </w:pPr>
            <w:bookmarkStart w:id="54" w:name="最小网格尺寸"/>
            <w:r>
              <w:t>4.0</w:t>
            </w:r>
            <w:bookmarkEnd w:id="54"/>
          </w:p>
        </w:tc>
      </w:tr>
      <w:tr w14:paraId="5C8323E4">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7D5AA886">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53F74C9">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D57D75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5AE3F67">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01243B69">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DA15EAB">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15F1B5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C5BA90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456E9EC6">
            <w:pPr>
              <w:spacing w:line="400" w:lineRule="exact"/>
              <w:jc w:val="center"/>
              <w:rPr>
                <w:rFonts w:ascii="微软雅黑" w:hAnsi="微软雅黑" w:eastAsia="微软雅黑"/>
                <w:sz w:val="18"/>
                <w:szCs w:val="18"/>
                <w:lang w:val="en-US"/>
              </w:rPr>
            </w:pPr>
            <w:bookmarkStart w:id="56" w:name="远场网格尺寸"/>
            <w:r>
              <w:t>8.0</w:t>
            </w:r>
            <w:bookmarkEnd w:id="56"/>
          </w:p>
        </w:tc>
      </w:tr>
      <w:tr w14:paraId="7B32DAEE">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731944B">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1D0E677">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1DC05D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1E86EA8">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3C990ED2">
      <w:pPr>
        <w:rPr>
          <w:rFonts w:ascii="微软雅黑" w:hAnsi="微软雅黑" w:eastAsia="微软雅黑"/>
          <w:sz w:val="18"/>
          <w:szCs w:val="18"/>
          <w:lang w:val="en-US"/>
        </w:rPr>
      </w:pPr>
    </w:p>
    <w:p w14:paraId="04D603D4">
      <w:pPr>
        <w:jc w:val="center"/>
      </w:pPr>
      <w:bookmarkStart w:id="58" w:name="网格图"/>
      <w:bookmarkEnd w:id="58"/>
      <w:r>
        <w:drawing>
          <wp:inline distT="0" distB="0" distL="0" distR="0">
            <wp:extent cx="5667375" cy="3705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729B599B">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14B4B178">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4A842F1B">
      <w:pPr>
        <w:pStyle w:val="3"/>
        <w:ind w:firstLine="0" w:firstLineChars="0"/>
        <w:rPr>
          <w:rFonts w:ascii="微软雅黑" w:hAnsi="微软雅黑" w:eastAsia="微软雅黑"/>
          <w:szCs w:val="20"/>
          <w:lang w:val="en-US"/>
        </w:rPr>
      </w:pPr>
    </w:p>
    <w:p w14:paraId="43C64310">
      <w:pPr>
        <w:pStyle w:val="4"/>
        <w:numPr>
          <w:ilvl w:val="1"/>
          <w:numId w:val="3"/>
        </w:numPr>
      </w:pPr>
      <w:bookmarkStart w:id="61" w:name="_Toc509844742"/>
      <w:bookmarkStart w:id="62" w:name="_Toc15953"/>
      <w:r>
        <w:rPr>
          <w:rFonts w:hint="eastAsia"/>
        </w:rPr>
        <w:t>边界条件</w:t>
      </w:r>
      <w:bookmarkEnd w:id="61"/>
      <w:bookmarkEnd w:id="62"/>
    </w:p>
    <w:p w14:paraId="58645683">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6D9E5274">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3715E9E2">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1990DDA0">
      <w:pPr>
        <w:pStyle w:val="5"/>
      </w:pPr>
      <w:bookmarkStart w:id="63" w:name="_Toc509844743"/>
      <w:r>
        <w:rPr>
          <w:rFonts w:hint="eastAsia"/>
        </w:rPr>
        <w:t>入口与出口边界条件</w:t>
      </w:r>
      <w:bookmarkEnd w:id="63"/>
    </w:p>
    <w:p w14:paraId="20F2C77D">
      <w:r>
        <w:rPr>
          <w:rFonts w:hint="eastAsia"/>
        </w:rPr>
        <w:t>1）入口风速梯度</w:t>
      </w:r>
    </w:p>
    <w:p w14:paraId="1EAA8060">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4686BB1C">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01445368">
      <w:pPr>
        <w:pStyle w:val="3"/>
        <w:ind w:firstLine="420"/>
        <w:rPr>
          <w:rFonts w:ascii="微软雅黑" w:hAnsi="微软雅黑" w:eastAsia="微软雅黑"/>
          <w:lang w:val="en-US"/>
        </w:rPr>
      </w:pPr>
      <w:r>
        <w:rPr>
          <w:rFonts w:hint="eastAsia" w:ascii="微软雅黑" w:hAnsi="微软雅黑" w:eastAsia="微软雅黑"/>
          <w:lang w:val="en-US"/>
        </w:rPr>
        <w:t>式中：</w:t>
      </w:r>
    </w:p>
    <w:p w14:paraId="27AC2A02">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66490502">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3A99D7BA">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3617A980">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79ACCD89">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17941D41">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5BC23533">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1B81B2F2">
            <w:pPr>
              <w:jc w:val="center"/>
              <w:rPr>
                <w:rFonts w:cs="宋体"/>
                <w:b/>
                <w:bCs/>
                <w:sz w:val="18"/>
                <w:szCs w:val="18"/>
              </w:rPr>
            </w:pPr>
            <w:r>
              <w:rPr>
                <w:rFonts w:hint="eastAsia" w:cs="宋体"/>
                <w:b/>
                <w:bCs/>
                <w:sz w:val="18"/>
                <w:szCs w:val="18"/>
              </w:rPr>
              <w:t>地面粗糙度指数</w:t>
            </w:r>
          </w:p>
        </w:tc>
      </w:tr>
      <w:tr w14:paraId="7621CEDF">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71BF7839">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1428CEB8">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1E47EEF8">
            <w:pPr>
              <w:jc w:val="center"/>
              <w:rPr>
                <w:rFonts w:cs="宋体"/>
                <w:sz w:val="18"/>
                <w:szCs w:val="18"/>
              </w:rPr>
            </w:pPr>
            <w:r>
              <w:rPr>
                <w:rFonts w:hint="eastAsia" w:cs="宋体"/>
                <w:sz w:val="18"/>
                <w:szCs w:val="18"/>
              </w:rPr>
              <w:t>0.14</w:t>
            </w:r>
          </w:p>
        </w:tc>
      </w:tr>
      <w:tr w14:paraId="0B6ECDB6">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48FA078E">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2F6910B7">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6D138B7A">
            <w:pPr>
              <w:jc w:val="center"/>
              <w:rPr>
                <w:rFonts w:cs="宋体"/>
                <w:sz w:val="18"/>
                <w:szCs w:val="18"/>
              </w:rPr>
            </w:pPr>
            <w:r>
              <w:rPr>
                <w:rFonts w:hint="eastAsia" w:cs="宋体"/>
                <w:sz w:val="18"/>
                <w:szCs w:val="18"/>
              </w:rPr>
              <w:t>0.22</w:t>
            </w:r>
          </w:p>
        </w:tc>
      </w:tr>
      <w:tr w14:paraId="176A4BA6">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534308B8">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06A6CF3B">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1B017D0D">
            <w:pPr>
              <w:jc w:val="center"/>
              <w:rPr>
                <w:rFonts w:cs="宋体"/>
                <w:sz w:val="18"/>
                <w:szCs w:val="18"/>
              </w:rPr>
            </w:pPr>
            <w:r>
              <w:rPr>
                <w:rFonts w:hint="eastAsia" w:cs="宋体"/>
                <w:sz w:val="18"/>
                <w:szCs w:val="18"/>
              </w:rPr>
              <w:t>0.28</w:t>
            </w:r>
          </w:p>
        </w:tc>
      </w:tr>
    </w:tbl>
    <w:p w14:paraId="0C9C44BC">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636FBF2A">
      <w:pPr>
        <w:spacing w:before="156" w:beforeLines="50"/>
      </w:pPr>
      <w:r>
        <w:t>2）出口边界</w:t>
      </w:r>
      <w:r>
        <w:rPr>
          <w:rFonts w:hint="eastAsia"/>
        </w:rPr>
        <w:t>条件</w:t>
      </w:r>
    </w:p>
    <w:p w14:paraId="0A42C8E0">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638F732F">
      <w:pPr>
        <w:pStyle w:val="5"/>
      </w:pPr>
      <w:bookmarkStart w:id="65" w:name="_Toc509844744"/>
      <w:r>
        <w:rPr>
          <w:rFonts w:hint="eastAsia"/>
        </w:rPr>
        <w:t>壁面边界条件</w:t>
      </w:r>
      <w:bookmarkEnd w:id="65"/>
    </w:p>
    <w:p w14:paraId="7411DA0A">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0DF82D19">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6EB58675">
      <w:pPr>
        <w:pStyle w:val="4"/>
        <w:numPr>
          <w:ilvl w:val="1"/>
          <w:numId w:val="3"/>
        </w:numPr>
      </w:pPr>
      <w:bookmarkStart w:id="66" w:name="_Toc6436"/>
      <w:r>
        <w:rPr>
          <w:rFonts w:hint="eastAsia"/>
        </w:rPr>
        <w:t>湍流模型</w:t>
      </w:r>
      <w:bookmarkEnd w:id="38"/>
      <w:bookmarkEnd w:id="39"/>
      <w:bookmarkEnd w:id="66"/>
    </w:p>
    <w:p w14:paraId="3F02BB7F">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2E6B7981">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4C30E6D5">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3D179296">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7F39D30D">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3A254482">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3BC693F3">
            <w:pPr>
              <w:jc w:val="center"/>
              <w:rPr>
                <w:rFonts w:cs="宋体"/>
                <w:b/>
                <w:bCs/>
                <w:sz w:val="18"/>
                <w:szCs w:val="18"/>
              </w:rPr>
            </w:pPr>
            <w:r>
              <w:rPr>
                <w:rFonts w:hint="eastAsia" w:cs="宋体"/>
                <w:b/>
                <w:bCs/>
                <w:sz w:val="18"/>
                <w:szCs w:val="18"/>
              </w:rPr>
              <w:t>特点和适用工况</w:t>
            </w:r>
          </w:p>
        </w:tc>
      </w:tr>
      <w:tr w14:paraId="5AEF0342">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035DA78F">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95AC4CE">
            <w:pPr>
              <w:rPr>
                <w:rFonts w:cs="宋体"/>
                <w:sz w:val="18"/>
                <w:szCs w:val="18"/>
              </w:rPr>
            </w:pPr>
            <w:r>
              <w:rPr>
                <w:rFonts w:hint="eastAsia" w:cs="宋体"/>
                <w:sz w:val="18"/>
                <w:szCs w:val="18"/>
              </w:rPr>
              <w:t>简单的工业流场和热交换模拟，无较大压力梯度、分离、强曲率流，适用于初始的参数研究</w:t>
            </w:r>
          </w:p>
        </w:tc>
      </w:tr>
      <w:tr w14:paraId="45A9CF87">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3646055F">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8BCE97A">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2B24A691">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43302A1B">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DE7CA81">
            <w:pPr>
              <w:rPr>
                <w:rFonts w:cs="宋体"/>
                <w:sz w:val="18"/>
                <w:szCs w:val="18"/>
              </w:rPr>
            </w:pPr>
            <w:r>
              <w:rPr>
                <w:rFonts w:hint="eastAsia" w:cs="宋体"/>
                <w:sz w:val="18"/>
                <w:szCs w:val="18"/>
              </w:rPr>
              <w:t>旋转流动、强逆压梯度的边界层流动、流动分离和二次流，类似于RNG</w:t>
            </w:r>
          </w:p>
        </w:tc>
      </w:tr>
    </w:tbl>
    <w:p w14:paraId="5E67EC1D">
      <w:pPr>
        <w:pStyle w:val="4"/>
        <w:numPr>
          <w:ilvl w:val="1"/>
          <w:numId w:val="3"/>
        </w:numPr>
      </w:pPr>
      <w:bookmarkStart w:id="67" w:name="_Toc452108767"/>
      <w:bookmarkStart w:id="68" w:name="_Toc451698939"/>
      <w:bookmarkStart w:id="69" w:name="_Toc11380"/>
      <w:r>
        <w:rPr>
          <w:rFonts w:hint="eastAsia"/>
        </w:rPr>
        <w:t>求解计算</w:t>
      </w:r>
      <w:bookmarkEnd w:id="67"/>
      <w:bookmarkEnd w:id="68"/>
      <w:bookmarkEnd w:id="69"/>
    </w:p>
    <w:p w14:paraId="7B06ACC3">
      <w:pPr>
        <w:pStyle w:val="5"/>
      </w:pPr>
      <w:r>
        <w:rPr>
          <w:rFonts w:hint="eastAsia"/>
        </w:rPr>
        <w:t>数学模型</w:t>
      </w:r>
    </w:p>
    <w:p w14:paraId="7F2837AE">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691F918F">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23BED45">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C5B624B">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7ADF39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0F7AE91">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BF0899F">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503D8B47">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5C84F950">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424A19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E4ED0F">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A4B2102">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58B2D8CF">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0079DF38">
            <w:pPr>
              <w:widowControl w:val="0"/>
              <w:jc w:val="both"/>
              <w:rPr>
                <w:rFonts w:cs="Calibri"/>
                <w:kern w:val="2"/>
                <w:sz w:val="18"/>
                <w:szCs w:val="18"/>
              </w:rPr>
            </w:pPr>
            <w:r>
              <w:rPr>
                <w:sz w:val="18"/>
                <w:szCs w:val="18"/>
              </w:rPr>
              <w:t>0</w:t>
            </w:r>
          </w:p>
        </w:tc>
      </w:tr>
      <w:tr w14:paraId="63DFB3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6632463">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35E52F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275B675">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941BE8D">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34E18F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5856AC6">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DCDE3D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B84110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9BF8F50">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49D2CD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1C164B5">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BA6AF8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B28102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AF162F3">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735AAC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1E46E88">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EDEBA3A">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4DC3141">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CA60ACF">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30B569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758D125">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7BFE8C6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45292B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23FEE87">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6795E6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19A21BF">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1B759388">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2BD7F48E">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22AD1450">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0F0C2124">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5432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8388334">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729C7642">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0621DEA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70D2A8F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7A13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1BD1C8C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528FEE9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43FB834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03B2357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54B3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073EEE1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434986D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7F66A526">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109308AF">
            <w:pPr>
              <w:pStyle w:val="3"/>
              <w:spacing w:line="240" w:lineRule="atLeast"/>
              <w:ind w:firstLine="0" w:firstLineChars="0"/>
              <w:jc w:val="left"/>
              <w:rPr>
                <w:rFonts w:ascii="微软雅黑" w:hAnsi="微软雅黑" w:eastAsia="微软雅黑"/>
                <w:sz w:val="18"/>
                <w:szCs w:val="18"/>
                <w:lang w:val="en-US"/>
              </w:rPr>
            </w:pPr>
          </w:p>
        </w:tc>
      </w:tr>
      <w:tr w14:paraId="6BF7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3FCAE59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EDFF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CFAB075">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AED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986CCE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4AFA3E23">
      <w:pPr>
        <w:pStyle w:val="3"/>
        <w:ind w:firstLine="525" w:firstLineChars="250"/>
        <w:rPr>
          <w:rFonts w:ascii="微软雅黑" w:hAnsi="微软雅黑" w:eastAsia="微软雅黑"/>
        </w:rPr>
      </w:pPr>
    </w:p>
    <w:p w14:paraId="44E9C4AE">
      <w:pPr>
        <w:pStyle w:val="5"/>
      </w:pPr>
      <w:r>
        <w:rPr>
          <w:rFonts w:hint="eastAsia"/>
        </w:rPr>
        <w:t>算法说明</w:t>
      </w:r>
    </w:p>
    <w:p w14:paraId="036B1AB0">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5A4D93B0">
      <w:pPr>
        <w:pStyle w:val="4"/>
      </w:pPr>
      <w:bookmarkStart w:id="72" w:name="_Toc509844747"/>
      <w:bookmarkStart w:id="73" w:name="_Toc7383"/>
      <w:r>
        <w:rPr>
          <w:rFonts w:hint="eastAsia"/>
        </w:rPr>
        <w:t>风速放大系数计算</w:t>
      </w:r>
      <w:bookmarkEnd w:id="72"/>
      <w:bookmarkEnd w:id="73"/>
    </w:p>
    <w:p w14:paraId="0FC02B79">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410E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225EA2F4">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5B11ECFE">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5A63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16A95C18">
            <w:pPr>
              <w:spacing w:line="360" w:lineRule="exact"/>
              <w:rPr>
                <w:lang w:val="en-US"/>
              </w:rPr>
            </w:pPr>
          </w:p>
        </w:tc>
        <w:tc>
          <w:tcPr>
            <w:tcW w:w="1832" w:type="dxa"/>
            <w:vAlign w:val="center"/>
          </w:tcPr>
          <w:p w14:paraId="3867BCAE">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03C49C50">
      <w:pPr>
        <w:pStyle w:val="3"/>
        <w:ind w:firstLine="420"/>
        <w:rPr>
          <w:rFonts w:ascii="微软雅黑" w:hAnsi="微软雅黑" w:eastAsia="微软雅黑"/>
          <w:lang w:val="en-US"/>
        </w:rPr>
      </w:pPr>
      <w:r>
        <w:rPr>
          <w:rFonts w:hint="eastAsia" w:ascii="微软雅黑" w:hAnsi="微软雅黑" w:eastAsia="微软雅黑"/>
          <w:lang w:val="en-US"/>
        </w:rPr>
        <w:t>其中：</w:t>
      </w:r>
    </w:p>
    <w:p w14:paraId="17A2424F">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4F9FA214">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597DFC2A">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0DAD4C73">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22754629">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4DA88C60">
      <w:pPr>
        <w:pStyle w:val="2"/>
        <w:rPr>
          <w:rFonts w:ascii="微软雅黑" w:hAnsi="微软雅黑"/>
        </w:rPr>
      </w:pPr>
      <w:bookmarkStart w:id="75" w:name="_Toc452108768"/>
      <w:bookmarkStart w:id="76" w:name="_Toc19366"/>
      <w:r>
        <w:rPr>
          <w:rFonts w:hint="eastAsia" w:ascii="微软雅黑" w:hAnsi="微软雅黑"/>
        </w:rPr>
        <w:t>结果</w:t>
      </w:r>
      <w:r>
        <w:rPr>
          <w:rFonts w:ascii="微软雅黑" w:hAnsi="微软雅黑"/>
        </w:rPr>
        <w:t>分析</w:t>
      </w:r>
      <w:bookmarkEnd w:id="75"/>
      <w:bookmarkEnd w:id="76"/>
    </w:p>
    <w:p w14:paraId="107130BE">
      <w:pPr>
        <w:pStyle w:val="4"/>
        <w:rPr>
          <w:szCs w:val="21"/>
        </w:rPr>
      </w:pPr>
      <w:bookmarkStart w:id="77" w:name="_Toc643"/>
      <w:r>
        <w:rPr>
          <w:rFonts w:hint="eastAsia"/>
          <w:szCs w:val="21"/>
        </w:rPr>
        <w:t>工况</w:t>
      </w:r>
      <w:r>
        <w:rPr>
          <w:szCs w:val="21"/>
        </w:rPr>
        <w:t>表</w:t>
      </w:r>
      <w:bookmarkEnd w:id="77"/>
    </w:p>
    <w:p w14:paraId="27836CBC">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342F8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6A2DBAFE">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7F1BB8A6">
            <w:pPr>
              <w:spacing w:line="400" w:lineRule="exact"/>
              <w:jc w:val="center"/>
              <w:rPr>
                <w:sz w:val="18"/>
                <w:szCs w:val="18"/>
              </w:rPr>
            </w:pPr>
            <w:r>
              <w:rPr>
                <w:rFonts w:hint="eastAsia"/>
                <w:sz w:val="18"/>
                <w:szCs w:val="18"/>
              </w:rPr>
              <w:t>季节</w:t>
            </w:r>
          </w:p>
        </w:tc>
        <w:tc>
          <w:tcPr>
            <w:tcW w:w="1187" w:type="pct"/>
            <w:shd w:val="clear" w:color="auto" w:fill="E6E6E6"/>
            <w:vAlign w:val="center"/>
          </w:tcPr>
          <w:p w14:paraId="2A29D6D5">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584E7992">
            <w:pPr>
              <w:spacing w:line="400" w:lineRule="exact"/>
              <w:jc w:val="center"/>
              <w:rPr>
                <w:sz w:val="18"/>
                <w:szCs w:val="18"/>
              </w:rPr>
            </w:pPr>
            <w:r>
              <w:rPr>
                <w:rFonts w:hint="eastAsia"/>
                <w:sz w:val="18"/>
                <w:szCs w:val="18"/>
              </w:rPr>
              <w:t>风向</w:t>
            </w:r>
          </w:p>
        </w:tc>
        <w:tc>
          <w:tcPr>
            <w:tcW w:w="994" w:type="pct"/>
            <w:shd w:val="clear" w:color="auto" w:fill="E6E6E6"/>
          </w:tcPr>
          <w:p w14:paraId="71363D74">
            <w:pPr>
              <w:spacing w:line="400" w:lineRule="exact"/>
              <w:jc w:val="center"/>
              <w:rPr>
                <w:sz w:val="18"/>
                <w:szCs w:val="18"/>
              </w:rPr>
            </w:pPr>
            <w:r>
              <w:rPr>
                <w:rFonts w:hint="eastAsia"/>
                <w:sz w:val="18"/>
                <w:szCs w:val="18"/>
              </w:rPr>
              <w:t>风向（°</w:t>
            </w:r>
            <w:r>
              <w:rPr>
                <w:sz w:val="18"/>
                <w:szCs w:val="18"/>
              </w:rPr>
              <w:t>）</w:t>
            </w:r>
          </w:p>
        </w:tc>
      </w:tr>
      <w:tr w14:paraId="6629E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7890C52D">
            <w:pPr>
              <w:spacing w:line="400" w:lineRule="exact"/>
              <w:jc w:val="center"/>
              <w:rPr>
                <w:sz w:val="18"/>
                <w:szCs w:val="18"/>
              </w:rPr>
            </w:pPr>
            <w:r>
              <w:rPr>
                <w:sz w:val="18"/>
                <w:szCs w:val="18"/>
              </w:rPr>
              <w:t>1</w:t>
            </w:r>
          </w:p>
        </w:tc>
        <w:tc>
          <w:tcPr>
            <w:tcW w:w="1166" w:type="pct"/>
            <w:vAlign w:val="center"/>
          </w:tcPr>
          <w:p w14:paraId="301D441C">
            <w:pPr>
              <w:spacing w:line="400" w:lineRule="exact"/>
              <w:jc w:val="center"/>
              <w:rPr>
                <w:sz w:val="18"/>
                <w:szCs w:val="18"/>
              </w:rPr>
            </w:pPr>
            <w:r>
              <w:rPr>
                <w:sz w:val="18"/>
                <w:szCs w:val="18"/>
              </w:rPr>
              <w:t>冬季</w:t>
            </w:r>
          </w:p>
        </w:tc>
        <w:tc>
          <w:tcPr>
            <w:tcW w:w="1187" w:type="pct"/>
            <w:vAlign w:val="center"/>
          </w:tcPr>
          <w:p w14:paraId="58F6204C">
            <w:pPr>
              <w:spacing w:line="400" w:lineRule="exact"/>
              <w:jc w:val="center"/>
              <w:rPr>
                <w:sz w:val="18"/>
                <w:szCs w:val="18"/>
              </w:rPr>
            </w:pPr>
            <w:r>
              <w:rPr>
                <w:sz w:val="18"/>
                <w:szCs w:val="18"/>
              </w:rPr>
              <w:t>3.00</w:t>
            </w:r>
          </w:p>
        </w:tc>
        <w:tc>
          <w:tcPr>
            <w:tcW w:w="994" w:type="pct"/>
          </w:tcPr>
          <w:p w14:paraId="4261DCF8">
            <w:pPr>
              <w:spacing w:line="400" w:lineRule="exact"/>
              <w:jc w:val="center"/>
              <w:rPr>
                <w:sz w:val="18"/>
                <w:szCs w:val="18"/>
              </w:rPr>
            </w:pPr>
            <w:r>
              <w:rPr>
                <w:sz w:val="18"/>
                <w:szCs w:val="18"/>
              </w:rPr>
              <w:t>NE</w:t>
            </w:r>
          </w:p>
        </w:tc>
        <w:tc>
          <w:tcPr>
            <w:tcW w:w="994" w:type="pct"/>
          </w:tcPr>
          <w:p w14:paraId="71D31FE1">
            <w:pPr>
              <w:spacing w:line="400" w:lineRule="exact"/>
              <w:jc w:val="center"/>
              <w:rPr>
                <w:sz w:val="18"/>
                <w:szCs w:val="18"/>
              </w:rPr>
            </w:pPr>
            <w:r>
              <w:rPr>
                <w:sz w:val="18"/>
                <w:szCs w:val="18"/>
              </w:rPr>
              <w:t>45.0</w:t>
            </w:r>
          </w:p>
        </w:tc>
      </w:tr>
      <w:bookmarkEnd w:id="78"/>
    </w:tbl>
    <w:p w14:paraId="0F0C6DF8">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17F603FE">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175AD7F5">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4CEF4EBD">
      <w:pPr>
        <w:pStyle w:val="4"/>
      </w:pPr>
      <w:bookmarkStart w:id="79" w:name="_Toc509844750"/>
      <w:bookmarkStart w:id="80" w:name="_Toc2683"/>
      <w:r>
        <w:rPr>
          <w:rFonts w:hint="eastAsia"/>
        </w:rPr>
        <w:t>冬季工况</w:t>
      </w:r>
      <w:bookmarkEnd w:id="79"/>
      <w:bookmarkEnd w:id="80"/>
    </w:p>
    <w:p w14:paraId="3FF35FDC">
      <w:pPr>
        <w:ind w:firstLine="420" w:firstLineChars="200"/>
        <w:jc w:val="both"/>
      </w:pPr>
      <w:r>
        <w:rPr>
          <w:rFonts w:hint="eastAsia"/>
          <w:lang w:val="en-US"/>
        </w:rPr>
        <w:t>本项目冬季工况的入口边界风速为</w:t>
      </w:r>
      <w:bookmarkStart w:id="81" w:name="冬季入口边界风速"/>
      <w:r>
        <w:rPr>
          <w:rFonts w:hint="eastAsia"/>
        </w:rPr>
        <w:t>3.00</w:t>
      </w:r>
      <w:bookmarkEnd w:id="81"/>
      <w:r>
        <w:t>m/s</w:t>
      </w:r>
      <w:r>
        <w:rPr>
          <w:rFonts w:hint="eastAsia"/>
        </w:rPr>
        <w:t>，风向为</w:t>
      </w:r>
      <w:bookmarkStart w:id="82" w:name="冬季入口边界风向"/>
      <w:r>
        <w:t>NE</w:t>
      </w:r>
      <w:bookmarkEnd w:id="82"/>
      <w:r>
        <w:rPr>
          <w:rFonts w:hint="eastAsia"/>
        </w:rPr>
        <w:t>。</w:t>
      </w:r>
    </w:p>
    <w:p w14:paraId="350A853E">
      <w:pPr>
        <w:pStyle w:val="5"/>
      </w:pPr>
      <w:bookmarkStart w:id="83" w:name="_Toc509844751"/>
      <w:r>
        <w:rPr>
          <w:rFonts w:hint="eastAsia"/>
        </w:rPr>
        <w:t>风速达标分析</w:t>
      </w:r>
      <w:bookmarkEnd w:id="83"/>
      <w:r>
        <w:rPr>
          <w:rFonts w:hint="eastAsia"/>
        </w:rPr>
        <w:t xml:space="preserve"> </w:t>
      </w:r>
    </w:p>
    <w:p w14:paraId="6F75511C">
      <w:pPr>
        <w:pStyle w:val="30"/>
      </w:pPr>
      <w:r>
        <w:rPr>
          <w:rFonts w:hint="eastAsia"/>
        </w:rPr>
        <w:t>下图为整个计算域内风速分布云图，参考图中速度分布可以对项目中建筑布局进行优化。计算域内建筑周围如果有风速超限区域，图中会用速度上限值为5m/s的黑色等值线标示。</w:t>
      </w:r>
    </w:p>
    <w:p w14:paraId="481A828B">
      <w:pPr>
        <w:pStyle w:val="30"/>
      </w:pPr>
      <w:r>
        <w:rPr>
          <w:rFonts w:hint="eastAsia"/>
        </w:rPr>
        <w:t>分析下列图数据，</w:t>
      </w:r>
      <w:bookmarkStart w:id="84" w:name="冬季工况人行区风速分析结论"/>
      <w:bookmarkEnd w:id="84"/>
      <w:r>
        <w:t>未标示出超标区域，可知人行区域风速为最大值为3.61m/s，小于5m/s，</w:t>
      </w:r>
      <w:r>
        <w:rPr>
          <w:color w:val="0000FF"/>
        </w:rPr>
        <w:t>满足</w:t>
      </w:r>
      <w:r>
        <w:t>绿标要求。</w:t>
      </w:r>
    </w:p>
    <w:p w14:paraId="4793BD7E">
      <w:pPr>
        <w:pStyle w:val="30"/>
      </w:pPr>
      <w:bookmarkStart w:id="85" w:name="冬季工况人行区风速云图"/>
      <w:bookmarkEnd w:id="85"/>
      <w:r>
        <w:drawing>
          <wp:inline distT="0" distB="0" distL="0" distR="0">
            <wp:extent cx="5667375" cy="37052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705225"/>
                    </a:xfrm>
                    <a:prstGeom prst="rect">
                      <a:avLst/>
                    </a:prstGeom>
                  </pic:spPr>
                </pic:pic>
              </a:graphicData>
            </a:graphic>
          </wp:inline>
        </w:drawing>
      </w:r>
    </w:p>
    <w:p w14:paraId="26A50939">
      <w:pPr>
        <w:pStyle w:val="30"/>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计算域内-1.5米高度水平面风速云图-冬季</w:t>
      </w:r>
    </w:p>
    <w:p w14:paraId="0A60163E">
      <w:pPr>
        <w:pStyle w:val="3"/>
        <w:ind w:firstLine="420"/>
        <w:rPr>
          <w:rFonts w:ascii="微软雅黑" w:hAnsi="微软雅黑" w:eastAsia="微软雅黑"/>
          <w:lang w:val="en-US"/>
        </w:rPr>
      </w:pPr>
    </w:p>
    <w:p w14:paraId="71DF3C15">
      <w:pPr>
        <w:pStyle w:val="5"/>
      </w:pPr>
      <w:bookmarkStart w:id="86" w:name="_Toc509844752"/>
      <w:r>
        <w:rPr>
          <w:rFonts w:hint="eastAsia"/>
        </w:rPr>
        <w:t>风速放大系数达标分析</w:t>
      </w:r>
      <w:bookmarkEnd w:id="86"/>
    </w:p>
    <w:p w14:paraId="343B1980">
      <w:pPr>
        <w:pStyle w:val="3"/>
        <w:ind w:firstLine="420"/>
        <w:jc w:val="left"/>
        <w:rPr>
          <w:rFonts w:ascii="微软雅黑" w:hAnsi="微软雅黑" w:eastAsia="微软雅黑"/>
          <w:lang w:val="en-US"/>
        </w:rPr>
      </w:pPr>
      <w:r>
        <w:rPr>
          <w:rFonts w:hint="eastAsia" w:ascii="微软雅黑" w:hAnsi="微软雅黑" w:eastAsia="微软雅黑"/>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图中未标示出风速放大系数超标区域，因此可知人行区域风速放大系数最大值为1.85，小于2，</w:t>
      </w:r>
      <w:r>
        <w:rPr>
          <w:rFonts w:ascii="微软雅黑" w:hAnsi="微软雅黑" w:eastAsia="微软雅黑"/>
          <w:color w:val="0000FF"/>
          <w:lang w:val="en-US"/>
        </w:rPr>
        <w:t>满足</w:t>
      </w:r>
      <w:r>
        <w:rPr>
          <w:rFonts w:ascii="微软雅黑" w:hAnsi="微软雅黑" w:eastAsia="微软雅黑"/>
          <w:lang w:val="en-US"/>
        </w:rPr>
        <w:t>绿标要求。</w:t>
      </w:r>
    </w:p>
    <w:p w14:paraId="605E74C0">
      <w:pPr>
        <w:jc w:val="center"/>
        <w:rPr>
          <w:rFonts w:ascii="微软雅黑" w:hAnsi="微软雅黑" w:eastAsia="微软雅黑"/>
        </w:rPr>
      </w:pPr>
      <w:bookmarkStart w:id="88" w:name="冬季工况人行区风速放大系数云图"/>
      <w:bookmarkEnd w:id="88"/>
      <w:r>
        <w:drawing>
          <wp:inline distT="0" distB="0" distL="0" distR="0">
            <wp:extent cx="5667375" cy="3705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705225"/>
                    </a:xfrm>
                    <a:prstGeom prst="rect">
                      <a:avLst/>
                    </a:prstGeom>
                  </pic:spPr>
                </pic:pic>
              </a:graphicData>
            </a:graphic>
          </wp:inline>
        </w:drawing>
      </w:r>
    </w:p>
    <w:p w14:paraId="10FABAA2">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计算域内-1.5米高处风速放大系数云图</w:t>
      </w:r>
    </w:p>
    <w:p w14:paraId="36DA6CB4">
      <w:pPr>
        <w:pStyle w:val="3"/>
        <w:ind w:firstLine="420"/>
        <w:rPr>
          <w:rFonts w:ascii="微软雅黑" w:hAnsi="微软雅黑" w:eastAsia="微软雅黑"/>
          <w:lang w:val="en-US"/>
        </w:rPr>
      </w:pPr>
    </w:p>
    <w:p w14:paraId="63DC83C8">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w:t>
      </w:r>
    </w:p>
    <w:p w14:paraId="6DD14C2F">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1）计算域内结果云图中图例上限为软件默认输出，图例上限也可按需求在结果浏览中调整。</w:t>
      </w:r>
    </w:p>
    <w:p w14:paraId="1FC6C6F1">
      <w:pPr>
        <w:ind w:firstLine="360" w:firstLineChars="200"/>
        <w:rPr>
          <w:sz w:val="18"/>
          <w:szCs w:val="18"/>
          <w:lang w:val="en-US"/>
        </w:rPr>
      </w:pPr>
      <w:r>
        <w:rPr>
          <w:rFonts w:hint="eastAsia"/>
          <w:sz w:val="18"/>
          <w:szCs w:val="18"/>
          <w:lang w:val="en-US"/>
        </w:rPr>
        <w:t>2）通常将1.5米作为一般人群的参考行走高度，也可酌情调整人行走高度。</w:t>
      </w:r>
      <w:bookmarkStart w:id="89" w:name="_Toc509844754"/>
      <w:bookmarkEnd w:id="89"/>
      <w:bookmarkStart w:id="90" w:name="_Toc509844755"/>
      <w:bookmarkEnd w:id="90"/>
      <w:bookmarkStart w:id="91" w:name="_Toc509844756"/>
      <w:bookmarkEnd w:id="91"/>
      <w:bookmarkStart w:id="92" w:name="_Toc509844757"/>
      <w:bookmarkEnd w:id="92"/>
    </w:p>
    <w:p w14:paraId="1B31DF13">
      <w:pPr>
        <w:pStyle w:val="3"/>
        <w:ind w:firstLine="420"/>
        <w:rPr>
          <w:rFonts w:ascii="微软雅黑" w:hAnsi="微软雅黑" w:eastAsia="微软雅黑"/>
          <w:lang w:val="en-US"/>
        </w:rPr>
      </w:pPr>
    </w:p>
    <w:p w14:paraId="5F3A950D">
      <w:pPr>
        <w:pStyle w:val="5"/>
      </w:pPr>
      <w:bookmarkStart w:id="93" w:name="_Toc509844753"/>
      <w:r>
        <w:rPr>
          <w:rFonts w:hint="eastAsia"/>
        </w:rPr>
        <w:t>冬季工况风速/风速放大系数达标</w:t>
      </w:r>
      <w:bookmarkEnd w:id="93"/>
      <w:r>
        <w:rPr>
          <w:rFonts w:hint="eastAsia"/>
        </w:rPr>
        <w:t>结果汇总</w:t>
      </w:r>
    </w:p>
    <w:p w14:paraId="5E2AE247">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25EDD1E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1"/>
        <w:tblW w:w="7791" w:type="dxa"/>
        <w:jc w:val="center"/>
        <w:tblLayout w:type="autofit"/>
        <w:tblCellMar>
          <w:top w:w="0" w:type="dxa"/>
          <w:left w:w="108" w:type="dxa"/>
          <w:bottom w:w="0" w:type="dxa"/>
          <w:right w:w="108" w:type="dxa"/>
        </w:tblCellMar>
      </w:tblPr>
      <w:tblGrid>
        <w:gridCol w:w="2405"/>
        <w:gridCol w:w="1985"/>
        <w:gridCol w:w="2126"/>
        <w:gridCol w:w="1275"/>
      </w:tblGrid>
      <w:tr w14:paraId="7F0139B5">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631CF">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4CF225F5">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标准要求限值</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041E40FD">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D409209">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0F803C94">
        <w:tblPrEx>
          <w:tblCellMar>
            <w:top w:w="0" w:type="dxa"/>
            <w:left w:w="108" w:type="dxa"/>
            <w:bottom w:w="0" w:type="dxa"/>
            <w:right w:w="108" w:type="dxa"/>
          </w:tblCellMar>
        </w:tblPrEx>
        <w:trPr>
          <w:trHeight w:val="270" w:hRule="atLeast"/>
          <w:jc w:val="center"/>
        </w:trPr>
        <w:tc>
          <w:tcPr>
            <w:tcW w:w="2405" w:type="dxa"/>
            <w:tcBorders>
              <w:top w:val="nil"/>
              <w:left w:val="single" w:color="auto" w:sz="4" w:space="0"/>
              <w:bottom w:val="single" w:color="auto" w:sz="4" w:space="0"/>
              <w:right w:val="single" w:color="auto" w:sz="4" w:space="0"/>
            </w:tcBorders>
            <w:shd w:val="clear" w:color="auto" w:fill="auto"/>
            <w:noWrap/>
            <w:vAlign w:val="center"/>
          </w:tcPr>
          <w:p w14:paraId="0ED2E550">
            <w:pPr>
              <w:jc w:val="center"/>
              <w:rPr>
                <w:rFonts w:ascii="微软雅黑" w:hAnsi="微软雅黑" w:eastAsia="微软雅黑" w:cs="宋体"/>
                <w:sz w:val="18"/>
                <w:szCs w:val="18"/>
              </w:rPr>
            </w:pPr>
            <w:r>
              <w:rPr>
                <w:rFonts w:hint="eastAsia" w:ascii="微软雅黑" w:hAnsi="微软雅黑" w:eastAsia="微软雅黑" w:cs="宋体"/>
                <w:sz w:val="18"/>
                <w:szCs w:val="18"/>
              </w:rPr>
              <w:t>风速</w:t>
            </w:r>
          </w:p>
        </w:tc>
        <w:tc>
          <w:tcPr>
            <w:tcW w:w="1985" w:type="dxa"/>
            <w:tcBorders>
              <w:top w:val="nil"/>
              <w:left w:val="nil"/>
              <w:bottom w:val="single" w:color="auto" w:sz="4" w:space="0"/>
              <w:right w:val="single" w:color="auto" w:sz="4" w:space="0"/>
            </w:tcBorders>
            <w:shd w:val="clear" w:color="auto" w:fill="auto"/>
            <w:noWrap/>
            <w:vAlign w:val="center"/>
          </w:tcPr>
          <w:p w14:paraId="2C0B7CC2">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5m/s</w:t>
            </w:r>
          </w:p>
        </w:tc>
        <w:tc>
          <w:tcPr>
            <w:tcW w:w="2126" w:type="dxa"/>
            <w:tcBorders>
              <w:top w:val="nil"/>
              <w:left w:val="nil"/>
              <w:bottom w:val="single" w:color="auto" w:sz="4" w:space="0"/>
              <w:right w:val="single" w:color="auto" w:sz="4" w:space="0"/>
            </w:tcBorders>
            <w:shd w:val="clear" w:color="auto" w:fill="auto"/>
            <w:noWrap/>
            <w:vAlign w:val="center"/>
          </w:tcPr>
          <w:p w14:paraId="309CDE15">
            <w:pPr>
              <w:spacing w:line="240" w:lineRule="auto"/>
              <w:jc w:val="center"/>
              <w:rPr>
                <w:rFonts w:ascii="微软雅黑" w:hAnsi="微软雅黑" w:eastAsia="微软雅黑" w:cs="宋体"/>
                <w:color w:val="000000"/>
                <w:sz w:val="18"/>
                <w:szCs w:val="18"/>
                <w:lang w:val="en-US"/>
              </w:rPr>
            </w:pPr>
            <w:bookmarkStart w:id="94" w:name="冬季工况风速是否有超限区域"/>
            <w:r>
              <w:rPr>
                <w:rFonts w:hint="eastAsia" w:ascii="微软雅黑" w:hAnsi="微软雅黑" w:eastAsia="微软雅黑" w:cs="宋体"/>
                <w:color w:val="000000"/>
                <w:sz w:val="18"/>
                <w:szCs w:val="18"/>
                <w:lang w:val="en-US"/>
              </w:rPr>
              <w:t>否</w:t>
            </w:r>
            <w:bookmarkEnd w:id="94"/>
          </w:p>
        </w:tc>
        <w:tc>
          <w:tcPr>
            <w:tcW w:w="1275" w:type="dxa"/>
            <w:tcBorders>
              <w:top w:val="nil"/>
              <w:left w:val="nil"/>
              <w:bottom w:val="single" w:color="auto" w:sz="4" w:space="0"/>
              <w:right w:val="single" w:color="auto" w:sz="4" w:space="0"/>
            </w:tcBorders>
            <w:shd w:val="clear" w:color="auto" w:fill="auto"/>
            <w:noWrap/>
            <w:vAlign w:val="center"/>
          </w:tcPr>
          <w:p w14:paraId="69A87E5E">
            <w:pPr>
              <w:spacing w:line="240" w:lineRule="auto"/>
              <w:jc w:val="center"/>
              <w:rPr>
                <w:rFonts w:ascii="微软雅黑" w:hAnsi="微软雅黑" w:eastAsia="微软雅黑" w:cs="宋体"/>
                <w:color w:val="000000"/>
                <w:sz w:val="18"/>
                <w:szCs w:val="18"/>
                <w:lang w:val="en-US"/>
              </w:rPr>
            </w:pPr>
            <w:bookmarkStart w:id="95" w:name="冬季工况风速达标判断"/>
            <w:r>
              <w:rPr>
                <w:rFonts w:hint="eastAsia" w:ascii="微软雅黑" w:hAnsi="微软雅黑" w:eastAsia="微软雅黑" w:cs="宋体"/>
                <w:color w:val="000000"/>
                <w:sz w:val="18"/>
                <w:szCs w:val="18"/>
                <w:lang w:val="en-US"/>
              </w:rPr>
              <w:t>是</w:t>
            </w:r>
            <w:bookmarkEnd w:id="95"/>
          </w:p>
        </w:tc>
      </w:tr>
      <w:tr w14:paraId="6D4BDD1C">
        <w:tblPrEx>
          <w:tblCellMar>
            <w:top w:w="0" w:type="dxa"/>
            <w:left w:w="108" w:type="dxa"/>
            <w:bottom w:w="0" w:type="dxa"/>
            <w:right w:w="108" w:type="dxa"/>
          </w:tblCellMar>
        </w:tblPrEx>
        <w:trPr>
          <w:trHeight w:val="270" w:hRule="atLeast"/>
          <w:jc w:val="center"/>
        </w:trPr>
        <w:tc>
          <w:tcPr>
            <w:tcW w:w="2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D7B1C">
            <w:pPr>
              <w:jc w:val="center"/>
              <w:rPr>
                <w:rFonts w:ascii="微软雅黑" w:hAnsi="微软雅黑" w:eastAsia="微软雅黑" w:cs="宋体"/>
                <w:sz w:val="18"/>
                <w:szCs w:val="18"/>
              </w:rPr>
            </w:pPr>
            <w:r>
              <w:rPr>
                <w:rFonts w:hint="eastAsia" w:ascii="微软雅黑" w:hAnsi="微软雅黑" w:eastAsia="微软雅黑" w:cs="宋体"/>
                <w:sz w:val="18"/>
                <w:szCs w:val="18"/>
              </w:rPr>
              <w:t>风速放大系数</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1748D9D7">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723C95C8">
            <w:pPr>
              <w:spacing w:line="240" w:lineRule="auto"/>
              <w:jc w:val="center"/>
              <w:rPr>
                <w:rFonts w:ascii="微软雅黑" w:hAnsi="微软雅黑" w:eastAsia="微软雅黑" w:cs="宋体"/>
                <w:color w:val="000000"/>
                <w:sz w:val="18"/>
                <w:szCs w:val="18"/>
                <w:lang w:val="en-US"/>
              </w:rPr>
            </w:pPr>
            <w:bookmarkStart w:id="96" w:name="冬季工况风速放大系数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0C877E2">
            <w:pPr>
              <w:spacing w:line="240" w:lineRule="auto"/>
              <w:jc w:val="center"/>
              <w:rPr>
                <w:rFonts w:ascii="微软雅黑" w:hAnsi="微软雅黑" w:eastAsia="微软雅黑" w:cs="宋体"/>
                <w:color w:val="000000"/>
                <w:sz w:val="18"/>
                <w:szCs w:val="18"/>
                <w:lang w:val="en-US"/>
              </w:rPr>
            </w:pPr>
            <w:bookmarkStart w:id="97" w:name="冬季工况风速放大系数达标判断"/>
            <w:r>
              <w:rPr>
                <w:rFonts w:hint="eastAsia" w:ascii="微软雅黑" w:hAnsi="微软雅黑" w:eastAsia="微软雅黑" w:cs="宋体"/>
                <w:color w:val="000000"/>
                <w:sz w:val="18"/>
                <w:szCs w:val="18"/>
                <w:lang w:val="en-US"/>
              </w:rPr>
              <w:t>是</w:t>
            </w:r>
            <w:bookmarkEnd w:id="97"/>
          </w:p>
        </w:tc>
      </w:tr>
    </w:tbl>
    <w:p w14:paraId="4C828FA7">
      <w:pPr>
        <w:rPr>
          <w:rFonts w:ascii="微软雅黑" w:hAnsi="微软雅黑" w:eastAsia="微软雅黑"/>
        </w:rPr>
      </w:pPr>
    </w:p>
    <w:p w14:paraId="4DC607AF">
      <w:pPr>
        <w:pStyle w:val="5"/>
      </w:pPr>
      <w:r>
        <w:rPr>
          <w:rFonts w:hint="eastAsia"/>
        </w:rPr>
        <w:t>建筑迎风面和背风面风压分析</w:t>
      </w:r>
    </w:p>
    <w:p w14:paraId="2D552F36">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0388CBC1">
      <w:pPr>
        <w:pStyle w:val="6"/>
        <w:rPr>
          <w:lang w:val="en-US"/>
        </w:rPr>
      </w:pPr>
      <w:r>
        <w:rPr>
          <w:rFonts w:hint="eastAsia"/>
          <w:lang w:val="en-US"/>
        </w:rPr>
        <w:t>建筑迎风面和背风面风压差计算方法</w:t>
      </w:r>
    </w:p>
    <w:p w14:paraId="0947139D">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本项目采用面积加权法对建筑迎风面和背风面对应门窗的风压值进行计算，最后获得迎背风面门窗的风压差值。下面将以一个示意建筑为例说明具体计算过程。</w:t>
      </w:r>
    </w:p>
    <w:p w14:paraId="1DA6A30A">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pic:cNvPicPr>
                      <a:picLocks noChangeAspect="1" noChangeArrowheads="1"/>
                    </pic:cNvPicPr>
                  </pic:nvPicPr>
                  <pic:blipFill>
                    <a:blip r:embed="rId3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5497D8C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示意建筑平面图</w:t>
      </w:r>
    </w:p>
    <w:p w14:paraId="18F097FD">
      <w:pPr>
        <w:pStyle w:val="3"/>
        <w:ind w:firstLine="420"/>
        <w:rPr>
          <w:rFonts w:ascii="微软雅黑" w:hAnsi="微软雅黑" w:eastAsia="微软雅黑"/>
          <w:lang w:val="en-US"/>
        </w:rPr>
      </w:pPr>
      <w:r>
        <w:rPr>
          <w:rFonts w:hint="eastAsia" w:ascii="微软雅黑" w:hAnsi="微软雅黑" w:eastAsia="微软雅黑"/>
          <w:lang w:val="en-US"/>
        </w:rPr>
        <w:t>以上图建筑第二层为例，迎风面窗户C1，C2，C3的平均风压值，通过每个窗户的平均风压和其窗户面积进行加权平均计算， 如下式：</w:t>
      </w:r>
    </w:p>
    <w:tbl>
      <w:tblPr>
        <w:tblStyle w:val="21"/>
        <w:tblW w:w="8359" w:type="dxa"/>
        <w:tblInd w:w="0" w:type="dxa"/>
        <w:tblLayout w:type="autofit"/>
        <w:tblCellMar>
          <w:top w:w="0" w:type="dxa"/>
          <w:left w:w="108" w:type="dxa"/>
          <w:bottom w:w="0" w:type="dxa"/>
          <w:right w:w="108" w:type="dxa"/>
        </w:tblCellMar>
      </w:tblPr>
      <w:tblGrid>
        <w:gridCol w:w="5524"/>
        <w:gridCol w:w="2835"/>
      </w:tblGrid>
      <w:tr w14:paraId="694772E2">
        <w:tblPrEx>
          <w:tblCellMar>
            <w:top w:w="0" w:type="dxa"/>
            <w:left w:w="108" w:type="dxa"/>
            <w:bottom w:w="0" w:type="dxa"/>
            <w:right w:w="108" w:type="dxa"/>
          </w:tblCellMar>
        </w:tblPrEx>
        <w:tc>
          <w:tcPr>
            <w:tcW w:w="5524" w:type="dxa"/>
            <w:shd w:val="clear" w:color="auto" w:fill="auto"/>
          </w:tcPr>
          <w:p w14:paraId="2E4B353A">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2835" w:type="dxa"/>
            <w:shd w:val="clear" w:color="auto" w:fill="auto"/>
            <w:vAlign w:val="center"/>
          </w:tcPr>
          <w:p w14:paraId="18F6B182">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30FECE3B">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28F826D3">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2B351F75">
      <w:pPr>
        <w:pStyle w:val="6"/>
      </w:pPr>
      <w:r>
        <w:rPr>
          <w:rFonts w:hint="eastAsia"/>
        </w:rPr>
        <w:t>建筑迎风面和背风面风压云图</w:t>
      </w:r>
    </w:p>
    <w:p w14:paraId="2C11A980">
      <w:pPr>
        <w:jc w:val="center"/>
        <w:rPr>
          <w:rFonts w:ascii="微软雅黑" w:hAnsi="微软雅黑" w:eastAsia="微软雅黑"/>
          <w:lang w:val="en-US"/>
        </w:rPr>
      </w:pPr>
      <w:bookmarkStart w:id="98" w:name="冬季工况建筑迎风面风压云图"/>
      <w:bookmarkEnd w:id="98"/>
      <w:r>
        <w:drawing>
          <wp:inline distT="0" distB="0" distL="0" distR="0">
            <wp:extent cx="5667375" cy="36671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667125"/>
                    </a:xfrm>
                    <a:prstGeom prst="rect">
                      <a:avLst/>
                    </a:prstGeom>
                  </pic:spPr>
                </pic:pic>
              </a:graphicData>
            </a:graphic>
          </wp:inline>
        </w:drawing>
      </w:r>
    </w:p>
    <w:p w14:paraId="44161FB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32480E9B">
      <w:pPr>
        <w:jc w:val="center"/>
        <w:rPr>
          <w:rFonts w:ascii="微软雅黑" w:hAnsi="微软雅黑" w:eastAsia="微软雅黑"/>
        </w:rPr>
      </w:pPr>
      <w:bookmarkStart w:id="99" w:name="冬季工况建筑背风面风压云图"/>
      <w:bookmarkEnd w:id="99"/>
      <w:r>
        <w:drawing>
          <wp:inline distT="0" distB="0" distL="0" distR="0">
            <wp:extent cx="5667375" cy="36766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4"/>
                    <a:stretch>
                      <a:fillRect/>
                    </a:stretch>
                  </pic:blipFill>
                  <pic:spPr>
                    <a:xfrm>
                      <a:off x="0" y="0"/>
                      <a:ext cx="5667375" cy="3676650"/>
                    </a:xfrm>
                    <a:prstGeom prst="rect">
                      <a:avLst/>
                    </a:prstGeom>
                  </pic:spPr>
                </pic:pic>
              </a:graphicData>
            </a:graphic>
          </wp:inline>
        </w:drawing>
      </w:r>
    </w:p>
    <w:p w14:paraId="070B8B4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2FD3E690">
      <w:pPr>
        <w:jc w:val="center"/>
        <w:rPr>
          <w:sz w:val="20"/>
        </w:rPr>
      </w:pPr>
      <w:bookmarkStart w:id="100" w:name="建筑迎背风面风压差表_新增"/>
      <w:bookmarkEnd w:id="100"/>
      <w:bookmarkStart w:id="101" w:name="建筑迎背风面风压差表"/>
    </w:p>
    <w:bookmarkEnd w:id="101"/>
    <w:p w14:paraId="128B843D">
      <w:pPr>
        <w:pStyle w:val="6"/>
      </w:pPr>
      <w:r>
        <w:rPr>
          <w:rFonts w:hint="eastAsia"/>
        </w:rPr>
        <w:t>建筑迎风和背风面风压差结论汇总</w:t>
      </w:r>
    </w:p>
    <w:p w14:paraId="6D48B65F">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742FD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05C385DA">
            <w:pPr>
              <w:jc w:val="center"/>
              <w:rPr>
                <w:sz w:val="18"/>
                <w:szCs w:val="18"/>
                <w:lang w:val="en-US"/>
              </w:rPr>
            </w:pPr>
            <w:bookmarkStart w:id="102" w:name="建筑迎风和背风面风压差结论汇总表"/>
            <w:r>
              <w:rPr>
                <w:rFonts w:hint="eastAsia"/>
                <w:sz w:val="18"/>
                <w:szCs w:val="18"/>
                <w:lang w:val="en-US"/>
              </w:rPr>
              <w:t>建筑编号</w:t>
            </w:r>
          </w:p>
        </w:tc>
        <w:tc>
          <w:tcPr>
            <w:tcW w:w="1697" w:type="dxa"/>
            <w:shd w:val="clear" w:color="auto" w:fill="E6E6E6"/>
            <w:vAlign w:val="center"/>
          </w:tcPr>
          <w:p w14:paraId="185999C7">
            <w:pPr>
              <w:jc w:val="center"/>
              <w:rPr>
                <w:sz w:val="18"/>
                <w:szCs w:val="18"/>
                <w:lang w:val="en-US"/>
              </w:rPr>
            </w:pPr>
            <w:r>
              <w:rPr>
                <w:rFonts w:hint="eastAsia"/>
                <w:sz w:val="18"/>
                <w:szCs w:val="18"/>
                <w:lang w:val="en-US"/>
              </w:rPr>
              <w:t>迎风面平均风压(Pa)</w:t>
            </w:r>
          </w:p>
        </w:tc>
        <w:tc>
          <w:tcPr>
            <w:tcW w:w="1697" w:type="dxa"/>
            <w:shd w:val="clear" w:color="auto" w:fill="E6E6E6"/>
            <w:vAlign w:val="center"/>
          </w:tcPr>
          <w:p w14:paraId="23590CAE">
            <w:pPr>
              <w:jc w:val="center"/>
              <w:rPr>
                <w:sz w:val="18"/>
                <w:szCs w:val="18"/>
                <w:lang w:val="en-US"/>
              </w:rPr>
            </w:pPr>
            <w:r>
              <w:rPr>
                <w:rFonts w:hint="eastAsia"/>
                <w:sz w:val="18"/>
                <w:szCs w:val="18"/>
                <w:lang w:val="en-US"/>
              </w:rPr>
              <w:t>背风面平均风压(Pa)</w:t>
            </w:r>
          </w:p>
        </w:tc>
        <w:tc>
          <w:tcPr>
            <w:tcW w:w="2401" w:type="dxa"/>
            <w:shd w:val="clear" w:color="auto" w:fill="E6E6E6"/>
            <w:vAlign w:val="center"/>
          </w:tcPr>
          <w:p w14:paraId="23149B1C">
            <w:pPr>
              <w:jc w:val="center"/>
              <w:rPr>
                <w:sz w:val="18"/>
                <w:szCs w:val="18"/>
                <w:lang w:val="en-US"/>
              </w:rPr>
            </w:pPr>
            <w:r>
              <w:rPr>
                <w:rFonts w:hint="eastAsia"/>
                <w:sz w:val="18"/>
                <w:szCs w:val="18"/>
                <w:lang w:val="en-US"/>
              </w:rPr>
              <w:t>建筑迎风和背风面风压差(Pa)</w:t>
            </w:r>
          </w:p>
        </w:tc>
        <w:tc>
          <w:tcPr>
            <w:tcW w:w="1151" w:type="dxa"/>
            <w:shd w:val="clear" w:color="auto" w:fill="E6E6E6"/>
            <w:vAlign w:val="center"/>
          </w:tcPr>
          <w:p w14:paraId="1C1051A0">
            <w:pPr>
              <w:jc w:val="center"/>
              <w:rPr>
                <w:sz w:val="18"/>
                <w:szCs w:val="18"/>
                <w:lang w:val="en-US"/>
              </w:rPr>
            </w:pPr>
            <w:r>
              <w:rPr>
                <w:rFonts w:hint="eastAsia"/>
                <w:sz w:val="18"/>
                <w:szCs w:val="18"/>
                <w:lang w:val="en-US"/>
              </w:rPr>
              <w:t>是否达标</w:t>
            </w:r>
          </w:p>
        </w:tc>
      </w:tr>
      <w:tr w14:paraId="3E44A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6746F1B0">
            <w:pPr>
              <w:jc w:val="center"/>
              <w:rPr>
                <w:sz w:val="18"/>
                <w:szCs w:val="18"/>
                <w:lang w:val="en-US"/>
              </w:rPr>
            </w:pPr>
            <w:r>
              <w:rPr>
                <w:sz w:val="18"/>
                <w:szCs w:val="18"/>
                <w:lang w:val="en-US"/>
              </w:rPr>
              <w:t>分析建筑</w:t>
            </w:r>
          </w:p>
        </w:tc>
        <w:tc>
          <w:tcPr>
            <w:tcW w:w="1697" w:type="dxa"/>
            <w:shd w:val="clear" w:color="auto" w:fill="auto"/>
            <w:vAlign w:val="center"/>
          </w:tcPr>
          <w:p w14:paraId="2826664A">
            <w:pPr>
              <w:jc w:val="center"/>
              <w:rPr>
                <w:sz w:val="18"/>
                <w:szCs w:val="18"/>
                <w:lang w:val="en-US"/>
              </w:rPr>
            </w:pPr>
            <w:r>
              <w:rPr>
                <w:sz w:val="18"/>
                <w:szCs w:val="18"/>
                <w:lang w:val="en-US"/>
              </w:rPr>
              <w:t>3.15</w:t>
            </w:r>
          </w:p>
        </w:tc>
        <w:tc>
          <w:tcPr>
            <w:tcW w:w="1697" w:type="dxa"/>
            <w:shd w:val="clear" w:color="auto" w:fill="auto"/>
            <w:vAlign w:val="center"/>
          </w:tcPr>
          <w:p w14:paraId="38670BCD">
            <w:pPr>
              <w:jc w:val="center"/>
              <w:rPr>
                <w:sz w:val="18"/>
                <w:szCs w:val="18"/>
                <w:lang w:val="en-US"/>
              </w:rPr>
            </w:pPr>
            <w:r>
              <w:rPr>
                <w:sz w:val="18"/>
                <w:szCs w:val="18"/>
                <w:lang w:val="en-US"/>
              </w:rPr>
              <w:t>-2.74</w:t>
            </w:r>
          </w:p>
        </w:tc>
        <w:tc>
          <w:tcPr>
            <w:tcW w:w="2401" w:type="dxa"/>
            <w:shd w:val="clear" w:color="auto" w:fill="auto"/>
            <w:vAlign w:val="center"/>
          </w:tcPr>
          <w:p w14:paraId="68D652C9">
            <w:pPr>
              <w:jc w:val="center"/>
              <w:rPr>
                <w:sz w:val="18"/>
                <w:szCs w:val="18"/>
                <w:lang w:val="en-US"/>
              </w:rPr>
            </w:pPr>
            <w:r>
              <w:rPr>
                <w:color w:val="FF0000"/>
                <w:sz w:val="18"/>
                <w:szCs w:val="18"/>
                <w:lang w:val="en-US"/>
              </w:rPr>
              <w:t>5.89</w:t>
            </w:r>
          </w:p>
        </w:tc>
        <w:tc>
          <w:tcPr>
            <w:tcW w:w="1151" w:type="dxa"/>
            <w:shd w:val="clear" w:color="auto" w:fill="auto"/>
            <w:vAlign w:val="center"/>
          </w:tcPr>
          <w:p w14:paraId="1220082F">
            <w:pPr>
              <w:jc w:val="center"/>
              <w:rPr>
                <w:sz w:val="18"/>
                <w:szCs w:val="18"/>
                <w:lang w:val="en-US"/>
              </w:rPr>
            </w:pPr>
            <w:r>
              <w:rPr>
                <w:color w:val="FF0000"/>
                <w:sz w:val="18"/>
                <w:szCs w:val="18"/>
                <w:lang w:val="en-US"/>
              </w:rPr>
              <w:t>否</w:t>
            </w:r>
          </w:p>
        </w:tc>
      </w:tr>
      <w:tr w14:paraId="37386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27B12F6A">
            <w:pPr>
              <w:jc w:val="center"/>
              <w:rPr>
                <w:sz w:val="18"/>
                <w:szCs w:val="18"/>
                <w:lang w:val="en-US"/>
              </w:rPr>
            </w:pPr>
            <w:r>
              <w:rPr>
                <w:sz w:val="18"/>
                <w:szCs w:val="18"/>
                <w:lang w:val="en-US"/>
              </w:rPr>
              <w:t>未命名</w:t>
            </w:r>
          </w:p>
        </w:tc>
        <w:tc>
          <w:tcPr>
            <w:tcW w:w="1697" w:type="dxa"/>
            <w:shd w:val="clear" w:color="auto" w:fill="auto"/>
            <w:vAlign w:val="center"/>
          </w:tcPr>
          <w:p w14:paraId="60D7C84F">
            <w:pPr>
              <w:jc w:val="center"/>
              <w:rPr>
                <w:sz w:val="18"/>
                <w:szCs w:val="18"/>
                <w:lang w:val="en-US"/>
              </w:rPr>
            </w:pPr>
            <w:r>
              <w:rPr>
                <w:sz w:val="18"/>
                <w:szCs w:val="18"/>
                <w:lang w:val="en-US"/>
              </w:rPr>
              <w:t>0.78</w:t>
            </w:r>
          </w:p>
        </w:tc>
        <w:tc>
          <w:tcPr>
            <w:tcW w:w="1697" w:type="dxa"/>
            <w:shd w:val="clear" w:color="auto" w:fill="auto"/>
            <w:vAlign w:val="center"/>
          </w:tcPr>
          <w:p w14:paraId="2CC1A163">
            <w:pPr>
              <w:jc w:val="center"/>
              <w:rPr>
                <w:sz w:val="18"/>
                <w:szCs w:val="18"/>
                <w:lang w:val="en-US"/>
              </w:rPr>
            </w:pPr>
            <w:r>
              <w:rPr>
                <w:sz w:val="18"/>
                <w:szCs w:val="18"/>
                <w:lang w:val="en-US"/>
              </w:rPr>
              <w:t>-1.79</w:t>
            </w:r>
          </w:p>
        </w:tc>
        <w:tc>
          <w:tcPr>
            <w:tcW w:w="2401" w:type="dxa"/>
            <w:shd w:val="clear" w:color="auto" w:fill="auto"/>
            <w:vAlign w:val="center"/>
          </w:tcPr>
          <w:p w14:paraId="53CF5799">
            <w:pPr>
              <w:jc w:val="center"/>
              <w:rPr>
                <w:sz w:val="18"/>
                <w:szCs w:val="18"/>
                <w:lang w:val="en-US"/>
              </w:rPr>
            </w:pPr>
            <w:r>
              <w:rPr>
                <w:sz w:val="18"/>
                <w:szCs w:val="18"/>
                <w:lang w:val="en-US"/>
              </w:rPr>
              <w:t>2.56</w:t>
            </w:r>
          </w:p>
        </w:tc>
        <w:tc>
          <w:tcPr>
            <w:tcW w:w="1151" w:type="dxa"/>
            <w:shd w:val="clear" w:color="auto" w:fill="auto"/>
            <w:vAlign w:val="center"/>
          </w:tcPr>
          <w:p w14:paraId="3C643225">
            <w:pPr>
              <w:jc w:val="center"/>
              <w:rPr>
                <w:sz w:val="18"/>
                <w:szCs w:val="18"/>
                <w:lang w:val="en-US"/>
              </w:rPr>
            </w:pPr>
            <w:r>
              <w:rPr>
                <w:sz w:val="18"/>
                <w:szCs w:val="18"/>
                <w:lang w:val="en-US"/>
              </w:rPr>
              <w:t>是</w:t>
            </w:r>
          </w:p>
        </w:tc>
      </w:tr>
      <w:bookmarkEnd w:id="102"/>
    </w:tbl>
    <w:p w14:paraId="4487614F">
      <w:pPr>
        <w:rPr>
          <w:lang w:val="en-US"/>
        </w:rPr>
      </w:pPr>
      <w:bookmarkStart w:id="103" w:name="建筑迎风和背风面风压差结论汇总结论"/>
      <w:bookmarkEnd w:id="103"/>
      <w:r>
        <w:rPr>
          <w:lang w:val="en-US"/>
        </w:rPr>
        <w:t>结论：本项目中参评建筑分析建筑迎背风压差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14:paraId="1E269F49">
      <w:pPr>
        <w:rPr>
          <w:lang w:val="en-US"/>
        </w:rPr>
      </w:pPr>
      <w:r>
        <w:rPr>
          <w:b/>
          <w:color w:val="000000"/>
          <w:lang w:val="en-US"/>
        </w:rPr>
        <w:t>说明：所有单体建筑各层迎风和背风面风压差信息详见附录。</w:t>
      </w:r>
    </w:p>
    <w:p w14:paraId="700D33A0">
      <w:pPr>
        <w:rPr>
          <w:lang w:val="en-US"/>
        </w:rPr>
      </w:pPr>
      <w:bookmarkStart w:id="104" w:name="冬季工况"/>
      <w:bookmarkEnd w:id="104"/>
      <w:r>
        <w:rPr>
          <w:rFonts w:hint="eastAsia"/>
          <w:lang w:val="en-US"/>
        </w:rPr>
        <w:t xml:space="preserve"> </w:t>
      </w:r>
    </w:p>
    <w:p w14:paraId="029FB900">
      <w:pPr>
        <w:rPr>
          <w:lang w:val="en-US"/>
        </w:rPr>
      </w:pPr>
      <w:bookmarkStart w:id="105" w:name="其他工况"/>
      <w:bookmarkEnd w:id="105"/>
      <w:r>
        <w:rPr>
          <w:rFonts w:hint="eastAsia"/>
          <w:lang w:val="en-US"/>
        </w:rPr>
        <w:t xml:space="preserve"> </w:t>
      </w:r>
    </w:p>
    <w:p w14:paraId="3A62BA71">
      <w:pPr>
        <w:pStyle w:val="2"/>
      </w:pPr>
      <w:bookmarkStart w:id="106" w:name="_Toc509844764"/>
      <w:bookmarkStart w:id="107" w:name="_Toc18837"/>
      <w:r>
        <w:rPr>
          <w:rFonts w:hint="eastAsia"/>
        </w:rPr>
        <w:t>结论</w:t>
      </w:r>
      <w:bookmarkEnd w:id="106"/>
      <w:bookmarkEnd w:id="107"/>
    </w:p>
    <w:p w14:paraId="21412496">
      <w:pPr>
        <w:pStyle w:val="4"/>
      </w:pPr>
      <w:bookmarkStart w:id="108" w:name="_Toc509844765"/>
      <w:bookmarkStart w:id="109" w:name="_Toc12595"/>
      <w:r>
        <w:rPr>
          <w:rFonts w:hint="eastAsia"/>
        </w:rPr>
        <w:t>冬季工况达标判断</w:t>
      </w:r>
      <w:bookmarkEnd w:id="108"/>
      <w:bookmarkEnd w:id="109"/>
      <w:bookmarkStart w:id="110" w:name="_Toc509844766"/>
      <w:bookmarkEnd w:id="110"/>
    </w:p>
    <w:p w14:paraId="08E7E552">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表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6.1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表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冬季工况达标判断表</w:t>
      </w:r>
    </w:p>
    <w:tbl>
      <w:tblPr>
        <w:tblStyle w:val="21"/>
        <w:tblW w:w="8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977"/>
        <w:gridCol w:w="1985"/>
        <w:gridCol w:w="1133"/>
        <w:gridCol w:w="850"/>
      </w:tblGrid>
      <w:tr w14:paraId="337C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E6E6E6"/>
            <w:vAlign w:val="center"/>
          </w:tcPr>
          <w:p w14:paraId="5E4B3600">
            <w:pPr>
              <w:jc w:val="center"/>
              <w:rPr>
                <w:b/>
                <w:sz w:val="18"/>
                <w:szCs w:val="18"/>
                <w:lang w:val="en-US"/>
              </w:rPr>
            </w:pPr>
            <w:r>
              <w:rPr>
                <w:rFonts w:hint="eastAsia"/>
                <w:b/>
                <w:sz w:val="18"/>
                <w:szCs w:val="18"/>
                <w:lang w:val="en-US"/>
              </w:rPr>
              <w:t>评价项目</w:t>
            </w:r>
          </w:p>
        </w:tc>
        <w:tc>
          <w:tcPr>
            <w:tcW w:w="2977" w:type="dxa"/>
            <w:shd w:val="clear" w:color="auto" w:fill="E6E6E6"/>
          </w:tcPr>
          <w:p w14:paraId="79E2793C">
            <w:pPr>
              <w:jc w:val="center"/>
              <w:rPr>
                <w:b/>
                <w:sz w:val="18"/>
                <w:szCs w:val="18"/>
                <w:lang w:val="en-US"/>
              </w:rPr>
            </w:pPr>
            <w:r>
              <w:rPr>
                <w:rFonts w:hint="eastAsia"/>
                <w:b/>
                <w:sz w:val="18"/>
                <w:szCs w:val="18"/>
                <w:lang w:val="en-US"/>
              </w:rPr>
              <w:t>标准要求</w:t>
            </w:r>
          </w:p>
        </w:tc>
        <w:tc>
          <w:tcPr>
            <w:tcW w:w="1985" w:type="dxa"/>
            <w:shd w:val="clear" w:color="auto" w:fill="E6E6E6"/>
            <w:vAlign w:val="center"/>
          </w:tcPr>
          <w:p w14:paraId="7D8096EE">
            <w:pPr>
              <w:jc w:val="center"/>
              <w:rPr>
                <w:b/>
                <w:sz w:val="18"/>
                <w:szCs w:val="18"/>
                <w:lang w:val="en-US"/>
              </w:rPr>
            </w:pPr>
            <w:r>
              <w:rPr>
                <w:rFonts w:hint="eastAsia"/>
                <w:b/>
                <w:sz w:val="18"/>
                <w:szCs w:val="18"/>
                <w:lang w:val="en-US"/>
              </w:rPr>
              <w:t>项目计算结果</w:t>
            </w:r>
          </w:p>
        </w:tc>
        <w:tc>
          <w:tcPr>
            <w:tcW w:w="1133" w:type="dxa"/>
            <w:shd w:val="clear" w:color="auto" w:fill="E6E6E6"/>
          </w:tcPr>
          <w:p w14:paraId="64A6083C">
            <w:pPr>
              <w:jc w:val="center"/>
              <w:rPr>
                <w:b/>
                <w:sz w:val="18"/>
                <w:szCs w:val="18"/>
                <w:lang w:val="en-US"/>
              </w:rPr>
            </w:pPr>
            <w:r>
              <w:rPr>
                <w:rFonts w:hint="eastAsia"/>
                <w:b/>
                <w:sz w:val="18"/>
                <w:szCs w:val="18"/>
                <w:lang w:val="en-US"/>
              </w:rPr>
              <w:t>达标判定</w:t>
            </w:r>
          </w:p>
        </w:tc>
        <w:tc>
          <w:tcPr>
            <w:tcW w:w="850" w:type="dxa"/>
            <w:shd w:val="clear" w:color="auto" w:fill="E6E6E6"/>
          </w:tcPr>
          <w:p w14:paraId="39914D26">
            <w:pPr>
              <w:jc w:val="center"/>
              <w:rPr>
                <w:b/>
                <w:sz w:val="18"/>
                <w:szCs w:val="18"/>
                <w:lang w:val="en-US"/>
              </w:rPr>
            </w:pPr>
            <w:r>
              <w:rPr>
                <w:rFonts w:hint="eastAsia"/>
                <w:b/>
                <w:sz w:val="18"/>
                <w:szCs w:val="18"/>
                <w:lang w:val="en-US"/>
              </w:rPr>
              <w:t>得分</w:t>
            </w:r>
          </w:p>
        </w:tc>
      </w:tr>
      <w:tr w14:paraId="1C82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42A14FB1">
            <w:pPr>
              <w:jc w:val="center"/>
              <w:rPr>
                <w:sz w:val="18"/>
                <w:szCs w:val="18"/>
                <w:lang w:val="en-US"/>
              </w:rPr>
            </w:pPr>
            <w:r>
              <w:rPr>
                <w:rFonts w:hint="eastAsia"/>
                <w:sz w:val="18"/>
                <w:szCs w:val="18"/>
                <w:lang w:val="en-US"/>
              </w:rPr>
              <w:t>风速</w:t>
            </w:r>
          </w:p>
        </w:tc>
        <w:tc>
          <w:tcPr>
            <w:tcW w:w="2977" w:type="dxa"/>
            <w:vMerge w:val="restart"/>
            <w:shd w:val="clear" w:color="auto" w:fill="auto"/>
          </w:tcPr>
          <w:p w14:paraId="13714D73">
            <w:pP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11" w:name="标准要求冬季风速得分"/>
            <w:r>
              <w:rPr>
                <w:rFonts w:hint="eastAsia"/>
                <w:sz w:val="18"/>
                <w:szCs w:val="18"/>
                <w:lang w:val="en-US"/>
              </w:rPr>
              <w:t>3</w:t>
            </w:r>
            <w:bookmarkEnd w:id="111"/>
            <w:r>
              <w:rPr>
                <w:rFonts w:hint="eastAsia"/>
                <w:sz w:val="18"/>
                <w:szCs w:val="18"/>
                <w:lang w:val="en-US"/>
              </w:rPr>
              <w:t>分；</w:t>
            </w:r>
          </w:p>
        </w:tc>
        <w:tc>
          <w:tcPr>
            <w:tcW w:w="1985" w:type="dxa"/>
            <w:shd w:val="clear" w:color="auto" w:fill="auto"/>
            <w:vAlign w:val="center"/>
          </w:tcPr>
          <w:p w14:paraId="2C622035">
            <w:pPr>
              <w:jc w:val="center"/>
              <w:rPr>
                <w:sz w:val="18"/>
                <w:szCs w:val="18"/>
                <w:lang w:val="en-US"/>
              </w:rPr>
            </w:pPr>
            <w:r>
              <w:rPr>
                <w:rFonts w:hint="eastAsia"/>
                <w:sz w:val="18"/>
                <w:szCs w:val="18"/>
                <w:lang w:val="en-US"/>
              </w:rPr>
              <w:t>计算域</w:t>
            </w:r>
            <w:bookmarkStart w:id="112" w:name="冬季风速结果计算域"/>
            <w:r>
              <w:t>没有出现</w:t>
            </w:r>
            <w:bookmarkEnd w:id="112"/>
            <w:r>
              <w:rPr>
                <w:rFonts w:hint="eastAsia"/>
                <w:sz w:val="18"/>
                <w:szCs w:val="18"/>
                <w:lang w:val="en-US"/>
              </w:rPr>
              <w:t>风速大于</w:t>
            </w:r>
            <w:r>
              <w:rPr>
                <w:sz w:val="18"/>
                <w:szCs w:val="18"/>
                <w:lang w:val="en-US"/>
              </w:rPr>
              <w:t>5m/s</w:t>
            </w:r>
            <w:r>
              <w:rPr>
                <w:rFonts w:hint="eastAsia"/>
                <w:sz w:val="18"/>
                <w:szCs w:val="18"/>
                <w:lang w:val="en-US"/>
              </w:rPr>
              <w:t>的区域</w:t>
            </w:r>
          </w:p>
        </w:tc>
        <w:tc>
          <w:tcPr>
            <w:tcW w:w="1133" w:type="dxa"/>
            <w:vMerge w:val="restart"/>
            <w:shd w:val="clear" w:color="auto" w:fill="auto"/>
            <w:vAlign w:val="center"/>
          </w:tcPr>
          <w:p w14:paraId="6D0B7F16">
            <w:pPr>
              <w:jc w:val="center"/>
              <w:rPr>
                <w:b/>
                <w:sz w:val="18"/>
                <w:szCs w:val="18"/>
                <w:lang w:val="en-US"/>
              </w:rPr>
            </w:pPr>
            <w:bookmarkStart w:id="113" w:name="冬季风速达标判定"/>
            <w:r>
              <w:rPr>
                <w:rFonts w:hint="eastAsia"/>
                <w:b/>
                <w:sz w:val="18"/>
                <w:szCs w:val="18"/>
                <w:lang w:val="en-US"/>
              </w:rPr>
              <w:t>达标</w:t>
            </w:r>
            <w:bookmarkEnd w:id="113"/>
          </w:p>
        </w:tc>
        <w:tc>
          <w:tcPr>
            <w:tcW w:w="850" w:type="dxa"/>
            <w:vMerge w:val="restart"/>
            <w:shd w:val="clear" w:color="auto" w:fill="auto"/>
            <w:vAlign w:val="center"/>
          </w:tcPr>
          <w:p w14:paraId="069C4EFD">
            <w:pPr>
              <w:jc w:val="center"/>
              <w:rPr>
                <w:sz w:val="18"/>
                <w:szCs w:val="18"/>
                <w:lang w:val="en-US"/>
              </w:rPr>
            </w:pPr>
            <w:bookmarkStart w:id="114" w:name="冬季风速得分"/>
            <w:r>
              <w:rPr>
                <w:rFonts w:hint="eastAsia"/>
                <w:sz w:val="18"/>
                <w:szCs w:val="18"/>
                <w:lang w:val="en-US"/>
              </w:rPr>
              <w:t>3</w:t>
            </w:r>
            <w:bookmarkEnd w:id="114"/>
            <w:r>
              <w:rPr>
                <w:rFonts w:hint="eastAsia"/>
                <w:sz w:val="18"/>
                <w:szCs w:val="18"/>
                <w:lang w:val="en-US"/>
              </w:rPr>
              <w:t>分</w:t>
            </w:r>
          </w:p>
        </w:tc>
      </w:tr>
      <w:tr w14:paraId="2125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33567075">
            <w:pPr>
              <w:jc w:val="center"/>
              <w:rPr>
                <w:sz w:val="18"/>
                <w:szCs w:val="18"/>
                <w:lang w:val="en-US"/>
              </w:rPr>
            </w:pPr>
            <w:r>
              <w:rPr>
                <w:rFonts w:hint="eastAsia"/>
                <w:sz w:val="18"/>
                <w:szCs w:val="18"/>
                <w:lang w:val="en-US"/>
              </w:rPr>
              <w:t>风速放大系数</w:t>
            </w:r>
          </w:p>
        </w:tc>
        <w:tc>
          <w:tcPr>
            <w:tcW w:w="2977" w:type="dxa"/>
            <w:vMerge w:val="continue"/>
            <w:shd w:val="clear" w:color="auto" w:fill="auto"/>
          </w:tcPr>
          <w:p w14:paraId="12AB82B3">
            <w:pPr>
              <w:jc w:val="center"/>
              <w:rPr>
                <w:sz w:val="18"/>
                <w:szCs w:val="18"/>
                <w:lang w:val="en-US"/>
              </w:rPr>
            </w:pPr>
          </w:p>
        </w:tc>
        <w:tc>
          <w:tcPr>
            <w:tcW w:w="1985" w:type="dxa"/>
            <w:shd w:val="clear" w:color="auto" w:fill="auto"/>
            <w:vAlign w:val="center"/>
          </w:tcPr>
          <w:p w14:paraId="762694F4">
            <w:pPr>
              <w:jc w:val="center"/>
              <w:rPr>
                <w:sz w:val="18"/>
                <w:szCs w:val="18"/>
                <w:lang w:val="en-US"/>
              </w:rPr>
            </w:pPr>
            <w:r>
              <w:rPr>
                <w:rFonts w:hint="eastAsia"/>
                <w:sz w:val="18"/>
                <w:szCs w:val="18"/>
                <w:lang w:val="en-US"/>
              </w:rPr>
              <w:t>计算域</w:t>
            </w:r>
            <w:bookmarkStart w:id="115" w:name="冬季风速放大系数结果计算域"/>
            <w:r>
              <w:t>没有出现</w:t>
            </w:r>
            <w:bookmarkEnd w:id="115"/>
            <w:r>
              <w:rPr>
                <w:rFonts w:hint="eastAsia"/>
                <w:sz w:val="18"/>
                <w:szCs w:val="18"/>
                <w:lang w:val="en-US"/>
              </w:rPr>
              <w:t>风速放大系数大于等于2的区域</w:t>
            </w:r>
          </w:p>
        </w:tc>
        <w:tc>
          <w:tcPr>
            <w:tcW w:w="1133" w:type="dxa"/>
            <w:vMerge w:val="continue"/>
            <w:shd w:val="clear" w:color="auto" w:fill="auto"/>
          </w:tcPr>
          <w:p w14:paraId="7783E865">
            <w:pPr>
              <w:jc w:val="center"/>
              <w:rPr>
                <w:sz w:val="18"/>
                <w:szCs w:val="18"/>
                <w:lang w:val="en-US"/>
              </w:rPr>
            </w:pPr>
          </w:p>
        </w:tc>
        <w:tc>
          <w:tcPr>
            <w:tcW w:w="850" w:type="dxa"/>
            <w:vMerge w:val="continue"/>
            <w:shd w:val="clear" w:color="auto" w:fill="auto"/>
          </w:tcPr>
          <w:p w14:paraId="4DE7F07F">
            <w:pPr>
              <w:jc w:val="center"/>
              <w:rPr>
                <w:sz w:val="18"/>
                <w:szCs w:val="18"/>
                <w:lang w:val="en-US"/>
              </w:rPr>
            </w:pPr>
          </w:p>
        </w:tc>
      </w:tr>
      <w:tr w14:paraId="670D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shd w:val="clear" w:color="auto" w:fill="auto"/>
            <w:vAlign w:val="center"/>
          </w:tcPr>
          <w:p w14:paraId="781033A8">
            <w:pPr>
              <w:jc w:val="center"/>
              <w:rPr>
                <w:sz w:val="18"/>
                <w:szCs w:val="18"/>
                <w:lang w:val="en-US"/>
              </w:rPr>
            </w:pPr>
            <w:r>
              <w:rPr>
                <w:rFonts w:hint="eastAsia"/>
                <w:sz w:val="18"/>
                <w:szCs w:val="18"/>
                <w:lang w:val="en-US"/>
              </w:rPr>
              <w:t>建筑迎风面/背风面风压值</w:t>
            </w:r>
          </w:p>
        </w:tc>
        <w:tc>
          <w:tcPr>
            <w:tcW w:w="2977" w:type="dxa"/>
            <w:shd w:val="clear" w:color="auto" w:fill="auto"/>
          </w:tcPr>
          <w:p w14:paraId="1CD7ACD2">
            <w:pPr>
              <w:jc w:val="center"/>
              <w:rPr>
                <w:sz w:val="18"/>
                <w:szCs w:val="18"/>
                <w:lang w:val="en-US"/>
              </w:rPr>
            </w:pPr>
            <w:r>
              <w:rPr>
                <w:rFonts w:hint="eastAsia"/>
                <w:sz w:val="18"/>
                <w:szCs w:val="18"/>
                <w:lang w:val="en-US"/>
              </w:rPr>
              <w:t>除迎风第一排建筑外，建筑迎风面与背风面表面风压差不超过5Pa，得</w:t>
            </w:r>
            <w:bookmarkStart w:id="116" w:name="标准要求冬季风压得分"/>
            <w:r>
              <w:rPr>
                <w:rFonts w:hint="eastAsia"/>
                <w:sz w:val="18"/>
                <w:szCs w:val="18"/>
                <w:lang w:val="en-US"/>
              </w:rPr>
              <w:t>2</w:t>
            </w:r>
            <w:bookmarkEnd w:id="116"/>
            <w:r>
              <w:rPr>
                <w:rFonts w:hint="eastAsia"/>
                <w:sz w:val="18"/>
                <w:szCs w:val="18"/>
                <w:lang w:val="en-US"/>
              </w:rPr>
              <w:t>分</w:t>
            </w:r>
            <w:r>
              <w:rPr>
                <w:sz w:val="18"/>
                <w:szCs w:val="18"/>
                <w:lang w:val="en-US"/>
              </w:rPr>
              <w:t>未出现风速超标区域</w:t>
            </w:r>
          </w:p>
        </w:tc>
        <w:tc>
          <w:tcPr>
            <w:tcW w:w="1985" w:type="dxa"/>
            <w:shd w:val="clear" w:color="auto" w:fill="auto"/>
            <w:vAlign w:val="center"/>
          </w:tcPr>
          <w:p w14:paraId="1635CD21">
            <w:pPr>
              <w:jc w:val="center"/>
              <w:rPr>
                <w:sz w:val="18"/>
                <w:szCs w:val="18"/>
                <w:lang w:val="en-US"/>
              </w:rPr>
            </w:pPr>
            <w:r>
              <w:rPr>
                <w:rFonts w:hint="eastAsia"/>
                <w:sz w:val="18"/>
                <w:szCs w:val="18"/>
                <w:lang w:val="en-US"/>
              </w:rPr>
              <w:t>本项目</w:t>
            </w:r>
            <w:bookmarkStart w:id="117" w:name="冬季迎背风面结果"/>
            <w:r>
              <w:rPr>
                <w:color w:val="FF0000"/>
              </w:rPr>
              <w:t>出现</w:t>
            </w:r>
            <w:bookmarkEnd w:id="117"/>
            <w:r>
              <w:rPr>
                <w:rFonts w:hint="eastAsia"/>
                <w:sz w:val="18"/>
                <w:szCs w:val="18"/>
                <w:lang w:val="en-US"/>
              </w:rPr>
              <w:t>建筑迎风面与背风面表面风压差大于5Pa的建筑</w:t>
            </w:r>
          </w:p>
        </w:tc>
        <w:tc>
          <w:tcPr>
            <w:tcW w:w="1133" w:type="dxa"/>
            <w:shd w:val="clear" w:color="auto" w:fill="auto"/>
            <w:vAlign w:val="center"/>
          </w:tcPr>
          <w:p w14:paraId="4FAEE42B">
            <w:pPr>
              <w:jc w:val="center"/>
              <w:rPr>
                <w:sz w:val="18"/>
                <w:szCs w:val="18"/>
                <w:lang w:val="en-US"/>
              </w:rPr>
            </w:pPr>
            <w:bookmarkStart w:id="118" w:name="冬季迎背风面达标判定"/>
            <w:r>
              <w:rPr>
                <w:rFonts w:hint="eastAsia"/>
                <w:b/>
                <w:color w:val="FF0000"/>
                <w:sz w:val="18"/>
                <w:szCs w:val="18"/>
                <w:lang w:val="en-US"/>
              </w:rPr>
              <w:t>不达标</w:t>
            </w:r>
            <w:bookmarkEnd w:id="118"/>
          </w:p>
        </w:tc>
        <w:tc>
          <w:tcPr>
            <w:tcW w:w="850" w:type="dxa"/>
            <w:shd w:val="clear" w:color="auto" w:fill="auto"/>
            <w:vAlign w:val="center"/>
          </w:tcPr>
          <w:p w14:paraId="4353B121">
            <w:pPr>
              <w:jc w:val="center"/>
              <w:rPr>
                <w:sz w:val="18"/>
                <w:szCs w:val="18"/>
                <w:lang w:val="en-US"/>
              </w:rPr>
            </w:pPr>
            <w:bookmarkStart w:id="119" w:name="冬季迎背风面得分"/>
            <w:r>
              <w:rPr>
                <w:rFonts w:hint="eastAsia"/>
                <w:sz w:val="18"/>
                <w:szCs w:val="18"/>
                <w:lang w:val="en-US"/>
              </w:rPr>
              <w:t>0</w:t>
            </w:r>
            <w:bookmarkEnd w:id="119"/>
            <w:r>
              <w:rPr>
                <w:rFonts w:hint="eastAsia"/>
                <w:sz w:val="18"/>
                <w:szCs w:val="18"/>
                <w:lang w:val="en-US"/>
              </w:rPr>
              <w:t>分</w:t>
            </w:r>
          </w:p>
        </w:tc>
      </w:tr>
    </w:tbl>
    <w:p w14:paraId="6E386E30">
      <w:pPr>
        <w:rPr>
          <w:lang w:val="en-US"/>
        </w:rPr>
      </w:pPr>
      <w:bookmarkStart w:id="120" w:name="_Toc509844767"/>
      <w:bookmarkEnd w:id="120"/>
      <w:bookmarkStart w:id="121" w:name="_Toc509844768"/>
      <w:bookmarkEnd w:id="121"/>
    </w:p>
    <w:p w14:paraId="1F972796">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2" w:name="总得分"/>
      <w:r>
        <w:rPr>
          <w:rFonts w:hint="eastAsia" w:ascii="微软雅黑" w:hAnsi="微软雅黑" w:eastAsia="微软雅黑"/>
          <w:lang w:val="en-US"/>
        </w:rPr>
        <w:t>3</w:t>
      </w:r>
      <w:bookmarkEnd w:id="122"/>
      <w:r>
        <w:rPr>
          <w:rFonts w:hint="eastAsia" w:ascii="微软雅黑" w:hAnsi="微软雅黑" w:eastAsia="微软雅黑"/>
          <w:lang w:val="en-US"/>
        </w:rPr>
        <w:t>分。</w:t>
      </w:r>
    </w:p>
    <w:p w14:paraId="7ED2CB4E">
      <w:pPr>
        <w:pStyle w:val="2"/>
      </w:pPr>
      <w:bookmarkStart w:id="123" w:name="_Toc19914"/>
      <w:bookmarkStart w:id="124" w:name="附录"/>
      <w:r>
        <w:rPr>
          <w:rFonts w:hint="eastAsia"/>
        </w:rPr>
        <w:t>附录</w:t>
      </w:r>
      <w:bookmarkEnd w:id="123"/>
    </w:p>
    <w:p w14:paraId="7440E7AF">
      <w:pPr>
        <w:pStyle w:val="4"/>
      </w:pPr>
      <w:bookmarkStart w:id="125" w:name="_Toc30502"/>
      <w:r>
        <w:rPr>
          <w:rFonts w:hint="eastAsia"/>
        </w:rPr>
        <w:t>参评建筑迎背风面窗平均风压差表</w:t>
      </w:r>
      <w:bookmarkEnd w:id="125"/>
    </w:p>
    <w:p w14:paraId="6EB55113">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w:t>
      </w:r>
      <w:bookmarkStart w:id="126" w:name="建筑迎背风面风压差表_建筑名"/>
      <w:r>
        <w:rPr>
          <w:sz w:val="18"/>
          <w:szCs w:val="18"/>
        </w:rPr>
        <w:t>分析建筑</w:t>
      </w:r>
      <w:bookmarkEnd w:id="126"/>
      <w:r>
        <w:rPr>
          <w:rFonts w:hint="eastAsia"/>
          <w:sz w:val="18"/>
          <w:szCs w:val="18"/>
        </w:rPr>
        <w:t>迎背风面窗平均风压差表</w:t>
      </w:r>
    </w:p>
    <w:tbl>
      <w:tblPr>
        <w:tblStyle w:val="21"/>
        <w:tblW w:w="822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61"/>
        <w:gridCol w:w="2142"/>
        <w:gridCol w:w="2268"/>
        <w:gridCol w:w="2551"/>
      </w:tblGrid>
      <w:tr w14:paraId="24144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shd w:val="clear" w:color="auto" w:fill="E6E6E6"/>
            <w:vAlign w:val="center"/>
          </w:tcPr>
          <w:p w14:paraId="4D708060">
            <w:pPr>
              <w:spacing w:line="400" w:lineRule="exact"/>
              <w:jc w:val="center"/>
              <w:rPr>
                <w:sz w:val="18"/>
                <w:szCs w:val="18"/>
                <w:lang w:val="en-US"/>
              </w:rPr>
            </w:pPr>
            <w:r>
              <w:rPr>
                <w:rFonts w:hint="eastAsia"/>
                <w:sz w:val="18"/>
                <w:szCs w:val="18"/>
                <w:lang w:val="en-US"/>
              </w:rPr>
              <w:t>区域</w:t>
            </w:r>
          </w:p>
        </w:tc>
        <w:tc>
          <w:tcPr>
            <w:tcW w:w="2142" w:type="dxa"/>
            <w:shd w:val="clear" w:color="auto" w:fill="E6E6E6"/>
            <w:vAlign w:val="center"/>
          </w:tcPr>
          <w:p w14:paraId="6A422233">
            <w:pPr>
              <w:spacing w:line="400" w:lineRule="exact"/>
              <w:jc w:val="center"/>
              <w:rPr>
                <w:sz w:val="18"/>
                <w:szCs w:val="18"/>
                <w:lang w:val="en-US"/>
              </w:rPr>
            </w:pPr>
            <w:r>
              <w:rPr>
                <w:rFonts w:hint="eastAsia"/>
                <w:sz w:val="18"/>
                <w:szCs w:val="18"/>
                <w:lang w:val="en-US"/>
              </w:rPr>
              <w:t>迎风面窗平均风压</w:t>
            </w:r>
            <w:r>
              <w:rPr>
                <w:sz w:val="18"/>
                <w:szCs w:val="18"/>
                <w:lang w:val="en-US"/>
              </w:rPr>
              <w:t>(Pa)</w:t>
            </w:r>
          </w:p>
        </w:tc>
        <w:tc>
          <w:tcPr>
            <w:tcW w:w="2268" w:type="dxa"/>
            <w:shd w:val="clear" w:color="auto" w:fill="E6E6E6"/>
            <w:vAlign w:val="center"/>
          </w:tcPr>
          <w:p w14:paraId="5AEA1362">
            <w:pPr>
              <w:spacing w:line="400" w:lineRule="exact"/>
              <w:jc w:val="center"/>
              <w:rPr>
                <w:sz w:val="18"/>
                <w:szCs w:val="18"/>
                <w:lang w:val="en-US"/>
              </w:rPr>
            </w:pPr>
            <w:r>
              <w:rPr>
                <w:rFonts w:hint="eastAsia"/>
                <w:sz w:val="18"/>
                <w:szCs w:val="18"/>
                <w:lang w:val="en-US"/>
              </w:rPr>
              <w:t>背风面窗平均风压</w:t>
            </w:r>
            <w:r>
              <w:rPr>
                <w:sz w:val="18"/>
                <w:szCs w:val="18"/>
                <w:lang w:val="en-US"/>
              </w:rPr>
              <w:t>(Pa)</w:t>
            </w:r>
          </w:p>
        </w:tc>
        <w:tc>
          <w:tcPr>
            <w:tcW w:w="2551" w:type="dxa"/>
            <w:shd w:val="clear" w:color="auto" w:fill="E6E6E6"/>
            <w:vAlign w:val="center"/>
          </w:tcPr>
          <w:p w14:paraId="4892FB8E">
            <w:pPr>
              <w:spacing w:line="400" w:lineRule="exact"/>
              <w:jc w:val="center"/>
              <w:rPr>
                <w:sz w:val="18"/>
                <w:szCs w:val="18"/>
                <w:lang w:val="en-US"/>
              </w:rPr>
            </w:pPr>
            <w:r>
              <w:rPr>
                <w:rFonts w:hint="eastAsia"/>
                <w:sz w:val="18"/>
                <w:szCs w:val="18"/>
                <w:lang w:val="en-US"/>
              </w:rPr>
              <w:t>迎背风面窗平均风压差</w:t>
            </w:r>
            <w:r>
              <w:rPr>
                <w:sz w:val="18"/>
                <w:szCs w:val="18"/>
                <w:lang w:val="en-US"/>
              </w:rPr>
              <w:t>(Pa)</w:t>
            </w:r>
          </w:p>
        </w:tc>
      </w:tr>
      <w:tr w14:paraId="03C9C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6BE06905">
            <w:pPr>
              <w:spacing w:line="400" w:lineRule="exact"/>
              <w:jc w:val="center"/>
              <w:rPr>
                <w:sz w:val="18"/>
                <w:szCs w:val="18"/>
                <w:lang w:val="en-US"/>
              </w:rPr>
            </w:pPr>
            <w:r>
              <w:rPr>
                <w:rFonts w:hint="eastAsia"/>
                <w:sz w:val="18"/>
                <w:szCs w:val="18"/>
                <w:lang w:val="en-US"/>
              </w:rPr>
              <w:t>1层</w:t>
            </w:r>
          </w:p>
        </w:tc>
        <w:tc>
          <w:tcPr>
            <w:tcW w:w="2142" w:type="dxa"/>
            <w:vAlign w:val="center"/>
          </w:tcPr>
          <w:p w14:paraId="6280B308">
            <w:pPr>
              <w:spacing w:line="400" w:lineRule="exact"/>
              <w:jc w:val="center"/>
              <w:rPr>
                <w:sz w:val="18"/>
                <w:szCs w:val="18"/>
                <w:lang w:val="en-US"/>
              </w:rPr>
            </w:pPr>
            <w:r>
              <w:rPr>
                <w:sz w:val="18"/>
                <w:szCs w:val="18"/>
                <w:lang w:val="en-US"/>
              </w:rPr>
              <w:t>2.91</w:t>
            </w:r>
          </w:p>
        </w:tc>
        <w:tc>
          <w:tcPr>
            <w:tcW w:w="2268" w:type="dxa"/>
            <w:vAlign w:val="center"/>
          </w:tcPr>
          <w:p w14:paraId="1BE74A78">
            <w:pPr>
              <w:spacing w:line="400" w:lineRule="exact"/>
              <w:jc w:val="center"/>
              <w:rPr>
                <w:sz w:val="18"/>
                <w:szCs w:val="18"/>
                <w:lang w:val="en-US"/>
              </w:rPr>
            </w:pPr>
            <w:r>
              <w:rPr>
                <w:sz w:val="18"/>
                <w:szCs w:val="18"/>
                <w:lang w:val="en-US"/>
              </w:rPr>
              <w:t>-2.60</w:t>
            </w:r>
          </w:p>
        </w:tc>
        <w:tc>
          <w:tcPr>
            <w:tcW w:w="2551" w:type="dxa"/>
            <w:vAlign w:val="center"/>
          </w:tcPr>
          <w:p w14:paraId="1C56A8C5">
            <w:pPr>
              <w:spacing w:line="400" w:lineRule="exact"/>
              <w:jc w:val="center"/>
              <w:rPr>
                <w:sz w:val="18"/>
                <w:szCs w:val="18"/>
                <w:lang w:val="en-US"/>
              </w:rPr>
            </w:pPr>
            <w:r>
              <w:rPr>
                <w:sz w:val="18"/>
                <w:szCs w:val="18"/>
                <w:lang w:val="en-US"/>
              </w:rPr>
              <w:t>5.51</w:t>
            </w:r>
          </w:p>
        </w:tc>
      </w:tr>
      <w:tr w14:paraId="3F259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A465D88">
            <w:pPr>
              <w:spacing w:line="400" w:lineRule="exact"/>
              <w:jc w:val="center"/>
              <w:rPr>
                <w:sz w:val="18"/>
                <w:szCs w:val="18"/>
                <w:lang w:val="en-US"/>
              </w:rPr>
            </w:pPr>
            <w:r>
              <w:rPr>
                <w:sz w:val="18"/>
                <w:szCs w:val="18"/>
                <w:lang w:val="en-US"/>
              </w:rPr>
              <w:t>2层</w:t>
            </w:r>
          </w:p>
        </w:tc>
        <w:tc>
          <w:tcPr>
            <w:tcW w:w="2142" w:type="dxa"/>
            <w:vAlign w:val="center"/>
          </w:tcPr>
          <w:p w14:paraId="6B44EC98">
            <w:pPr>
              <w:spacing w:line="400" w:lineRule="exact"/>
              <w:jc w:val="center"/>
              <w:rPr>
                <w:sz w:val="18"/>
                <w:szCs w:val="18"/>
                <w:lang w:val="en-US"/>
              </w:rPr>
            </w:pPr>
            <w:r>
              <w:rPr>
                <w:sz w:val="18"/>
                <w:szCs w:val="18"/>
                <w:lang w:val="en-US"/>
              </w:rPr>
              <w:t>2.95</w:t>
            </w:r>
          </w:p>
        </w:tc>
        <w:tc>
          <w:tcPr>
            <w:tcW w:w="2268" w:type="dxa"/>
            <w:vAlign w:val="center"/>
          </w:tcPr>
          <w:p w14:paraId="7F85FABB">
            <w:pPr>
              <w:spacing w:line="400" w:lineRule="exact"/>
              <w:jc w:val="center"/>
              <w:rPr>
                <w:sz w:val="18"/>
                <w:szCs w:val="18"/>
                <w:lang w:val="en-US"/>
              </w:rPr>
            </w:pPr>
            <w:r>
              <w:rPr>
                <w:sz w:val="18"/>
                <w:szCs w:val="18"/>
                <w:lang w:val="en-US"/>
              </w:rPr>
              <w:t>-2.75</w:t>
            </w:r>
          </w:p>
        </w:tc>
        <w:tc>
          <w:tcPr>
            <w:tcW w:w="2551" w:type="dxa"/>
            <w:vAlign w:val="center"/>
          </w:tcPr>
          <w:p w14:paraId="512772C6">
            <w:pPr>
              <w:spacing w:line="400" w:lineRule="exact"/>
              <w:jc w:val="center"/>
              <w:rPr>
                <w:sz w:val="18"/>
                <w:szCs w:val="18"/>
                <w:lang w:val="en-US"/>
              </w:rPr>
            </w:pPr>
            <w:r>
              <w:rPr>
                <w:sz w:val="18"/>
                <w:szCs w:val="18"/>
                <w:lang w:val="en-US"/>
              </w:rPr>
              <w:t>5.70</w:t>
            </w:r>
          </w:p>
        </w:tc>
      </w:tr>
      <w:tr w14:paraId="4DE39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7F0836D0">
            <w:pPr>
              <w:spacing w:line="400" w:lineRule="exact"/>
              <w:jc w:val="center"/>
              <w:rPr>
                <w:sz w:val="18"/>
                <w:szCs w:val="18"/>
                <w:lang w:val="en-US"/>
              </w:rPr>
            </w:pPr>
            <w:r>
              <w:rPr>
                <w:sz w:val="18"/>
                <w:szCs w:val="18"/>
                <w:lang w:val="en-US"/>
              </w:rPr>
              <w:t>3层</w:t>
            </w:r>
          </w:p>
        </w:tc>
        <w:tc>
          <w:tcPr>
            <w:tcW w:w="2142" w:type="dxa"/>
            <w:vAlign w:val="center"/>
          </w:tcPr>
          <w:p w14:paraId="450244D3">
            <w:pPr>
              <w:spacing w:line="400" w:lineRule="exact"/>
              <w:jc w:val="center"/>
              <w:rPr>
                <w:sz w:val="18"/>
                <w:szCs w:val="18"/>
                <w:lang w:val="en-US"/>
              </w:rPr>
            </w:pPr>
            <w:r>
              <w:rPr>
                <w:sz w:val="18"/>
                <w:szCs w:val="18"/>
                <w:lang w:val="en-US"/>
              </w:rPr>
              <w:t>2.85</w:t>
            </w:r>
          </w:p>
        </w:tc>
        <w:tc>
          <w:tcPr>
            <w:tcW w:w="2268" w:type="dxa"/>
            <w:vAlign w:val="center"/>
          </w:tcPr>
          <w:p w14:paraId="7A2B6B27">
            <w:pPr>
              <w:spacing w:line="400" w:lineRule="exact"/>
              <w:jc w:val="center"/>
              <w:rPr>
                <w:sz w:val="18"/>
                <w:szCs w:val="18"/>
                <w:lang w:val="en-US"/>
              </w:rPr>
            </w:pPr>
            <w:r>
              <w:rPr>
                <w:sz w:val="18"/>
                <w:szCs w:val="18"/>
                <w:lang w:val="en-US"/>
              </w:rPr>
              <w:t>-2.77</w:t>
            </w:r>
          </w:p>
        </w:tc>
        <w:tc>
          <w:tcPr>
            <w:tcW w:w="2551" w:type="dxa"/>
            <w:vAlign w:val="center"/>
          </w:tcPr>
          <w:p w14:paraId="424A0C25">
            <w:pPr>
              <w:spacing w:line="400" w:lineRule="exact"/>
              <w:jc w:val="center"/>
              <w:rPr>
                <w:sz w:val="18"/>
                <w:szCs w:val="18"/>
                <w:lang w:val="en-US"/>
              </w:rPr>
            </w:pPr>
            <w:r>
              <w:rPr>
                <w:sz w:val="18"/>
                <w:szCs w:val="18"/>
                <w:lang w:val="en-US"/>
              </w:rPr>
              <w:t>5.62</w:t>
            </w:r>
          </w:p>
        </w:tc>
      </w:tr>
      <w:tr w14:paraId="50FAC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5EE79DF">
            <w:pPr>
              <w:spacing w:line="400" w:lineRule="exact"/>
              <w:jc w:val="center"/>
              <w:rPr>
                <w:sz w:val="18"/>
                <w:szCs w:val="18"/>
                <w:lang w:val="en-US"/>
              </w:rPr>
            </w:pPr>
            <w:r>
              <w:rPr>
                <w:sz w:val="18"/>
                <w:szCs w:val="18"/>
                <w:lang w:val="en-US"/>
              </w:rPr>
              <w:t>4层</w:t>
            </w:r>
          </w:p>
        </w:tc>
        <w:tc>
          <w:tcPr>
            <w:tcW w:w="2142" w:type="dxa"/>
            <w:vAlign w:val="center"/>
          </w:tcPr>
          <w:p w14:paraId="1B74844F">
            <w:pPr>
              <w:spacing w:line="400" w:lineRule="exact"/>
              <w:jc w:val="center"/>
              <w:rPr>
                <w:sz w:val="18"/>
                <w:szCs w:val="18"/>
                <w:lang w:val="en-US"/>
              </w:rPr>
            </w:pPr>
            <w:r>
              <w:rPr>
                <w:sz w:val="18"/>
                <w:szCs w:val="18"/>
                <w:lang w:val="en-US"/>
              </w:rPr>
              <w:t>2.80</w:t>
            </w:r>
          </w:p>
        </w:tc>
        <w:tc>
          <w:tcPr>
            <w:tcW w:w="2268" w:type="dxa"/>
            <w:vAlign w:val="center"/>
          </w:tcPr>
          <w:p w14:paraId="2735686C">
            <w:pPr>
              <w:spacing w:line="400" w:lineRule="exact"/>
              <w:jc w:val="center"/>
              <w:rPr>
                <w:sz w:val="18"/>
                <w:szCs w:val="18"/>
                <w:lang w:val="en-US"/>
              </w:rPr>
            </w:pPr>
            <w:r>
              <w:rPr>
                <w:sz w:val="18"/>
                <w:szCs w:val="18"/>
                <w:lang w:val="en-US"/>
              </w:rPr>
              <w:t>-2.78</w:t>
            </w:r>
          </w:p>
        </w:tc>
        <w:tc>
          <w:tcPr>
            <w:tcW w:w="2551" w:type="dxa"/>
            <w:vAlign w:val="center"/>
          </w:tcPr>
          <w:p w14:paraId="1D19B8E1">
            <w:pPr>
              <w:spacing w:line="400" w:lineRule="exact"/>
              <w:jc w:val="center"/>
              <w:rPr>
                <w:sz w:val="18"/>
                <w:szCs w:val="18"/>
                <w:lang w:val="en-US"/>
              </w:rPr>
            </w:pPr>
            <w:r>
              <w:rPr>
                <w:sz w:val="18"/>
                <w:szCs w:val="18"/>
                <w:lang w:val="en-US"/>
              </w:rPr>
              <w:t>5.58</w:t>
            </w:r>
          </w:p>
        </w:tc>
      </w:tr>
      <w:tr w14:paraId="54D9D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229387E">
            <w:pPr>
              <w:spacing w:line="400" w:lineRule="exact"/>
              <w:jc w:val="center"/>
              <w:rPr>
                <w:sz w:val="18"/>
                <w:szCs w:val="18"/>
                <w:lang w:val="en-US"/>
              </w:rPr>
            </w:pPr>
            <w:r>
              <w:rPr>
                <w:sz w:val="18"/>
                <w:szCs w:val="18"/>
                <w:lang w:val="en-US"/>
              </w:rPr>
              <w:t>5层</w:t>
            </w:r>
          </w:p>
        </w:tc>
        <w:tc>
          <w:tcPr>
            <w:tcW w:w="2142" w:type="dxa"/>
            <w:vAlign w:val="center"/>
          </w:tcPr>
          <w:p w14:paraId="65E62962">
            <w:pPr>
              <w:spacing w:line="400" w:lineRule="exact"/>
              <w:jc w:val="center"/>
              <w:rPr>
                <w:sz w:val="18"/>
                <w:szCs w:val="18"/>
                <w:lang w:val="en-US"/>
              </w:rPr>
            </w:pPr>
            <w:r>
              <w:rPr>
                <w:sz w:val="18"/>
                <w:szCs w:val="18"/>
                <w:lang w:val="en-US"/>
              </w:rPr>
              <w:t>2.80</w:t>
            </w:r>
          </w:p>
        </w:tc>
        <w:tc>
          <w:tcPr>
            <w:tcW w:w="2268" w:type="dxa"/>
            <w:vAlign w:val="center"/>
          </w:tcPr>
          <w:p w14:paraId="00FCACF4">
            <w:pPr>
              <w:spacing w:line="400" w:lineRule="exact"/>
              <w:jc w:val="center"/>
              <w:rPr>
                <w:sz w:val="18"/>
                <w:szCs w:val="18"/>
                <w:lang w:val="en-US"/>
              </w:rPr>
            </w:pPr>
            <w:r>
              <w:rPr>
                <w:sz w:val="18"/>
                <w:szCs w:val="18"/>
                <w:lang w:val="en-US"/>
              </w:rPr>
              <w:t>-2.78</w:t>
            </w:r>
          </w:p>
        </w:tc>
        <w:tc>
          <w:tcPr>
            <w:tcW w:w="2551" w:type="dxa"/>
            <w:vAlign w:val="center"/>
          </w:tcPr>
          <w:p w14:paraId="28A3C5DF">
            <w:pPr>
              <w:spacing w:line="400" w:lineRule="exact"/>
              <w:jc w:val="center"/>
              <w:rPr>
                <w:sz w:val="18"/>
                <w:szCs w:val="18"/>
                <w:lang w:val="en-US"/>
              </w:rPr>
            </w:pPr>
            <w:r>
              <w:rPr>
                <w:sz w:val="18"/>
                <w:szCs w:val="18"/>
                <w:lang w:val="en-US"/>
              </w:rPr>
              <w:t>5.58</w:t>
            </w:r>
          </w:p>
        </w:tc>
      </w:tr>
      <w:tr w14:paraId="23BB6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14403E1E">
            <w:pPr>
              <w:spacing w:line="400" w:lineRule="exact"/>
              <w:jc w:val="center"/>
              <w:rPr>
                <w:sz w:val="18"/>
                <w:szCs w:val="18"/>
                <w:lang w:val="en-US"/>
              </w:rPr>
            </w:pPr>
            <w:r>
              <w:rPr>
                <w:sz w:val="18"/>
                <w:szCs w:val="18"/>
                <w:lang w:val="en-US"/>
              </w:rPr>
              <w:t>6层</w:t>
            </w:r>
          </w:p>
        </w:tc>
        <w:tc>
          <w:tcPr>
            <w:tcW w:w="2142" w:type="dxa"/>
            <w:vAlign w:val="center"/>
          </w:tcPr>
          <w:p w14:paraId="56F068E4">
            <w:pPr>
              <w:spacing w:line="400" w:lineRule="exact"/>
              <w:jc w:val="center"/>
              <w:rPr>
                <w:sz w:val="18"/>
                <w:szCs w:val="18"/>
                <w:lang w:val="en-US"/>
              </w:rPr>
            </w:pPr>
            <w:r>
              <w:rPr>
                <w:sz w:val="18"/>
                <w:szCs w:val="18"/>
                <w:lang w:val="en-US"/>
              </w:rPr>
              <w:t>2.83</w:t>
            </w:r>
          </w:p>
        </w:tc>
        <w:tc>
          <w:tcPr>
            <w:tcW w:w="2268" w:type="dxa"/>
            <w:vAlign w:val="center"/>
          </w:tcPr>
          <w:p w14:paraId="380CA6CE">
            <w:pPr>
              <w:spacing w:line="400" w:lineRule="exact"/>
              <w:jc w:val="center"/>
              <w:rPr>
                <w:sz w:val="18"/>
                <w:szCs w:val="18"/>
                <w:lang w:val="en-US"/>
              </w:rPr>
            </w:pPr>
            <w:r>
              <w:rPr>
                <w:sz w:val="18"/>
                <w:szCs w:val="18"/>
                <w:lang w:val="en-US"/>
              </w:rPr>
              <w:t>-2.78</w:t>
            </w:r>
          </w:p>
        </w:tc>
        <w:tc>
          <w:tcPr>
            <w:tcW w:w="2551" w:type="dxa"/>
            <w:vAlign w:val="center"/>
          </w:tcPr>
          <w:p w14:paraId="7303FFD7">
            <w:pPr>
              <w:spacing w:line="400" w:lineRule="exact"/>
              <w:jc w:val="center"/>
              <w:rPr>
                <w:sz w:val="18"/>
                <w:szCs w:val="18"/>
                <w:lang w:val="en-US"/>
              </w:rPr>
            </w:pPr>
            <w:r>
              <w:rPr>
                <w:sz w:val="18"/>
                <w:szCs w:val="18"/>
                <w:lang w:val="en-US"/>
              </w:rPr>
              <w:t>5.61</w:t>
            </w:r>
          </w:p>
        </w:tc>
      </w:tr>
      <w:tr w14:paraId="13904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172AC6F">
            <w:pPr>
              <w:spacing w:line="400" w:lineRule="exact"/>
              <w:jc w:val="center"/>
              <w:rPr>
                <w:sz w:val="18"/>
                <w:szCs w:val="18"/>
                <w:lang w:val="en-US"/>
              </w:rPr>
            </w:pPr>
            <w:r>
              <w:rPr>
                <w:sz w:val="18"/>
                <w:szCs w:val="18"/>
                <w:lang w:val="en-US"/>
              </w:rPr>
              <w:t>7层</w:t>
            </w:r>
          </w:p>
        </w:tc>
        <w:tc>
          <w:tcPr>
            <w:tcW w:w="2142" w:type="dxa"/>
            <w:vAlign w:val="center"/>
          </w:tcPr>
          <w:p w14:paraId="015F60E5">
            <w:pPr>
              <w:spacing w:line="400" w:lineRule="exact"/>
              <w:jc w:val="center"/>
              <w:rPr>
                <w:sz w:val="18"/>
                <w:szCs w:val="18"/>
                <w:lang w:val="en-US"/>
              </w:rPr>
            </w:pPr>
            <w:r>
              <w:rPr>
                <w:sz w:val="18"/>
                <w:szCs w:val="18"/>
                <w:lang w:val="en-US"/>
              </w:rPr>
              <w:t>3.18</w:t>
            </w:r>
          </w:p>
        </w:tc>
        <w:tc>
          <w:tcPr>
            <w:tcW w:w="2268" w:type="dxa"/>
            <w:vAlign w:val="center"/>
          </w:tcPr>
          <w:p w14:paraId="05D2CE36">
            <w:pPr>
              <w:spacing w:line="400" w:lineRule="exact"/>
              <w:jc w:val="center"/>
              <w:rPr>
                <w:sz w:val="18"/>
                <w:szCs w:val="18"/>
                <w:lang w:val="en-US"/>
              </w:rPr>
            </w:pPr>
            <w:r>
              <w:rPr>
                <w:sz w:val="18"/>
                <w:szCs w:val="18"/>
                <w:lang w:val="en-US"/>
              </w:rPr>
              <w:t>-2.86</w:t>
            </w:r>
          </w:p>
        </w:tc>
        <w:tc>
          <w:tcPr>
            <w:tcW w:w="2551" w:type="dxa"/>
            <w:vAlign w:val="center"/>
          </w:tcPr>
          <w:p w14:paraId="77E235A8">
            <w:pPr>
              <w:spacing w:line="400" w:lineRule="exact"/>
              <w:jc w:val="center"/>
              <w:rPr>
                <w:sz w:val="18"/>
                <w:szCs w:val="18"/>
                <w:lang w:val="en-US"/>
              </w:rPr>
            </w:pPr>
            <w:r>
              <w:rPr>
                <w:sz w:val="18"/>
                <w:szCs w:val="18"/>
                <w:lang w:val="en-US"/>
              </w:rPr>
              <w:t>6.04</w:t>
            </w:r>
          </w:p>
        </w:tc>
      </w:tr>
      <w:tr w14:paraId="5F34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0D9E3925">
            <w:pPr>
              <w:spacing w:line="400" w:lineRule="exact"/>
              <w:jc w:val="center"/>
              <w:rPr>
                <w:sz w:val="18"/>
                <w:szCs w:val="18"/>
                <w:lang w:val="en-US"/>
              </w:rPr>
            </w:pPr>
            <w:r>
              <w:rPr>
                <w:sz w:val="18"/>
                <w:szCs w:val="18"/>
                <w:lang w:val="en-US"/>
              </w:rPr>
              <w:t>8层</w:t>
            </w:r>
          </w:p>
        </w:tc>
        <w:tc>
          <w:tcPr>
            <w:tcW w:w="2142" w:type="dxa"/>
            <w:vAlign w:val="center"/>
          </w:tcPr>
          <w:p w14:paraId="19E19BE0">
            <w:pPr>
              <w:spacing w:line="400" w:lineRule="exact"/>
              <w:jc w:val="center"/>
              <w:rPr>
                <w:sz w:val="18"/>
                <w:szCs w:val="18"/>
                <w:lang w:val="en-US"/>
              </w:rPr>
            </w:pPr>
            <w:r>
              <w:rPr>
                <w:sz w:val="18"/>
                <w:szCs w:val="18"/>
                <w:lang w:val="en-US"/>
              </w:rPr>
              <w:t>3.61</w:t>
            </w:r>
          </w:p>
        </w:tc>
        <w:tc>
          <w:tcPr>
            <w:tcW w:w="2268" w:type="dxa"/>
            <w:vAlign w:val="center"/>
          </w:tcPr>
          <w:p w14:paraId="43B71926">
            <w:pPr>
              <w:spacing w:line="400" w:lineRule="exact"/>
              <w:jc w:val="center"/>
              <w:rPr>
                <w:sz w:val="18"/>
                <w:szCs w:val="18"/>
                <w:lang w:val="en-US"/>
              </w:rPr>
            </w:pPr>
            <w:r>
              <w:rPr>
                <w:sz w:val="18"/>
                <w:szCs w:val="18"/>
                <w:lang w:val="en-US"/>
              </w:rPr>
              <w:t>-2.76</w:t>
            </w:r>
          </w:p>
        </w:tc>
        <w:tc>
          <w:tcPr>
            <w:tcW w:w="2551" w:type="dxa"/>
            <w:vAlign w:val="center"/>
          </w:tcPr>
          <w:p w14:paraId="286C22CC">
            <w:pPr>
              <w:spacing w:line="400" w:lineRule="exact"/>
              <w:jc w:val="center"/>
              <w:rPr>
                <w:sz w:val="18"/>
                <w:szCs w:val="18"/>
                <w:lang w:val="en-US"/>
              </w:rPr>
            </w:pPr>
            <w:r>
              <w:rPr>
                <w:sz w:val="18"/>
                <w:szCs w:val="18"/>
                <w:lang w:val="en-US"/>
              </w:rPr>
              <w:t>6.37</w:t>
            </w:r>
          </w:p>
        </w:tc>
      </w:tr>
      <w:tr w14:paraId="61615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B76A390">
            <w:pPr>
              <w:spacing w:line="400" w:lineRule="exact"/>
              <w:jc w:val="center"/>
              <w:rPr>
                <w:sz w:val="18"/>
                <w:szCs w:val="18"/>
                <w:lang w:val="en-US"/>
              </w:rPr>
            </w:pPr>
            <w:r>
              <w:rPr>
                <w:sz w:val="18"/>
                <w:szCs w:val="18"/>
                <w:lang w:val="en-US"/>
              </w:rPr>
              <w:t>9层</w:t>
            </w:r>
          </w:p>
        </w:tc>
        <w:tc>
          <w:tcPr>
            <w:tcW w:w="2142" w:type="dxa"/>
            <w:vAlign w:val="center"/>
          </w:tcPr>
          <w:p w14:paraId="61C3EF82">
            <w:pPr>
              <w:spacing w:line="400" w:lineRule="exact"/>
              <w:jc w:val="center"/>
              <w:rPr>
                <w:sz w:val="18"/>
                <w:szCs w:val="18"/>
                <w:lang w:val="en-US"/>
              </w:rPr>
            </w:pPr>
            <w:r>
              <w:rPr>
                <w:sz w:val="18"/>
                <w:szCs w:val="18"/>
                <w:lang w:val="en-US"/>
              </w:rPr>
              <w:t>4.17</w:t>
            </w:r>
          </w:p>
        </w:tc>
        <w:tc>
          <w:tcPr>
            <w:tcW w:w="2268" w:type="dxa"/>
            <w:vAlign w:val="center"/>
          </w:tcPr>
          <w:p w14:paraId="5F7E2D63">
            <w:pPr>
              <w:spacing w:line="400" w:lineRule="exact"/>
              <w:jc w:val="center"/>
              <w:rPr>
                <w:sz w:val="18"/>
                <w:szCs w:val="18"/>
                <w:lang w:val="en-US"/>
              </w:rPr>
            </w:pPr>
            <w:r>
              <w:rPr>
                <w:sz w:val="18"/>
                <w:szCs w:val="18"/>
                <w:lang w:val="en-US"/>
              </w:rPr>
              <w:t>-2.70</w:t>
            </w:r>
          </w:p>
        </w:tc>
        <w:tc>
          <w:tcPr>
            <w:tcW w:w="2551" w:type="dxa"/>
            <w:vAlign w:val="center"/>
          </w:tcPr>
          <w:p w14:paraId="2ACB76CE">
            <w:pPr>
              <w:spacing w:line="400" w:lineRule="exact"/>
              <w:jc w:val="center"/>
              <w:rPr>
                <w:sz w:val="18"/>
                <w:szCs w:val="18"/>
                <w:lang w:val="en-US"/>
              </w:rPr>
            </w:pPr>
            <w:r>
              <w:rPr>
                <w:sz w:val="18"/>
                <w:szCs w:val="18"/>
                <w:lang w:val="en-US"/>
              </w:rPr>
              <w:t>6.87</w:t>
            </w:r>
          </w:p>
        </w:tc>
      </w:tr>
      <w:tr w14:paraId="0CCCD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410B66F9">
            <w:pPr>
              <w:spacing w:line="400" w:lineRule="exact"/>
              <w:jc w:val="center"/>
              <w:rPr>
                <w:sz w:val="18"/>
                <w:szCs w:val="18"/>
                <w:lang w:val="en-US"/>
              </w:rPr>
            </w:pPr>
            <w:r>
              <w:rPr>
                <w:rFonts w:hint="eastAsia"/>
                <w:sz w:val="18"/>
                <w:szCs w:val="18"/>
                <w:lang w:val="en-US"/>
              </w:rPr>
              <w:t>10层</w:t>
            </w:r>
          </w:p>
        </w:tc>
        <w:tc>
          <w:tcPr>
            <w:tcW w:w="2142" w:type="dxa"/>
            <w:vAlign w:val="center"/>
          </w:tcPr>
          <w:p w14:paraId="30EF9DE6">
            <w:pPr>
              <w:spacing w:line="400" w:lineRule="exact"/>
              <w:jc w:val="center"/>
              <w:rPr>
                <w:sz w:val="18"/>
                <w:szCs w:val="18"/>
                <w:lang w:val="en-US"/>
              </w:rPr>
            </w:pPr>
            <w:r>
              <w:rPr>
                <w:sz w:val="18"/>
                <w:szCs w:val="18"/>
                <w:lang w:val="en-US"/>
              </w:rPr>
              <w:t>3.41</w:t>
            </w:r>
          </w:p>
        </w:tc>
        <w:tc>
          <w:tcPr>
            <w:tcW w:w="2268" w:type="dxa"/>
            <w:vAlign w:val="center"/>
          </w:tcPr>
          <w:p w14:paraId="629797AB">
            <w:pPr>
              <w:spacing w:line="400" w:lineRule="exact"/>
              <w:jc w:val="center"/>
              <w:rPr>
                <w:sz w:val="18"/>
                <w:szCs w:val="18"/>
                <w:lang w:val="en-US"/>
              </w:rPr>
            </w:pPr>
            <w:r>
              <w:rPr>
                <w:sz w:val="18"/>
                <w:szCs w:val="18"/>
                <w:lang w:val="en-US"/>
              </w:rPr>
              <w:t>-2.62</w:t>
            </w:r>
          </w:p>
        </w:tc>
        <w:tc>
          <w:tcPr>
            <w:tcW w:w="2551" w:type="dxa"/>
            <w:vAlign w:val="center"/>
          </w:tcPr>
          <w:p w14:paraId="0AC6B6F6">
            <w:pPr>
              <w:spacing w:line="400" w:lineRule="exact"/>
              <w:jc w:val="center"/>
              <w:rPr>
                <w:sz w:val="18"/>
                <w:szCs w:val="18"/>
                <w:lang w:val="en-US"/>
              </w:rPr>
            </w:pPr>
            <w:r>
              <w:rPr>
                <w:sz w:val="18"/>
                <w:szCs w:val="18"/>
                <w:lang w:val="en-US"/>
              </w:rPr>
              <w:t>6.03</w:t>
            </w:r>
          </w:p>
        </w:tc>
      </w:tr>
      <w:tr w14:paraId="26E30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61" w:type="dxa"/>
            <w:vAlign w:val="center"/>
          </w:tcPr>
          <w:p w14:paraId="2DABC38E">
            <w:pPr>
              <w:spacing w:line="400" w:lineRule="exact"/>
              <w:jc w:val="center"/>
              <w:rPr>
                <w:sz w:val="18"/>
                <w:szCs w:val="18"/>
                <w:lang w:val="en-US"/>
              </w:rPr>
            </w:pPr>
            <w:r>
              <w:rPr>
                <w:rFonts w:hint="eastAsia"/>
                <w:sz w:val="18"/>
                <w:szCs w:val="18"/>
                <w:lang w:val="en-US"/>
              </w:rPr>
              <w:t>整楼</w:t>
            </w:r>
          </w:p>
        </w:tc>
        <w:tc>
          <w:tcPr>
            <w:tcW w:w="2142" w:type="dxa"/>
            <w:vAlign w:val="center"/>
          </w:tcPr>
          <w:p w14:paraId="39ADD821">
            <w:pPr>
              <w:spacing w:line="400" w:lineRule="exact"/>
              <w:jc w:val="center"/>
              <w:rPr>
                <w:sz w:val="18"/>
                <w:szCs w:val="18"/>
                <w:lang w:val="en-US"/>
              </w:rPr>
            </w:pPr>
            <w:r>
              <w:rPr>
                <w:sz w:val="18"/>
                <w:szCs w:val="18"/>
                <w:lang w:val="en-US"/>
              </w:rPr>
              <w:t>3.15</w:t>
            </w:r>
          </w:p>
        </w:tc>
        <w:tc>
          <w:tcPr>
            <w:tcW w:w="2268" w:type="dxa"/>
            <w:vAlign w:val="center"/>
          </w:tcPr>
          <w:p w14:paraId="06CD5B80">
            <w:pPr>
              <w:spacing w:line="400" w:lineRule="exact"/>
              <w:jc w:val="center"/>
              <w:rPr>
                <w:sz w:val="18"/>
                <w:szCs w:val="18"/>
                <w:lang w:val="en-US"/>
              </w:rPr>
            </w:pPr>
            <w:r>
              <w:rPr>
                <w:sz w:val="18"/>
                <w:szCs w:val="18"/>
                <w:lang w:val="en-US"/>
              </w:rPr>
              <w:t>-2.74</w:t>
            </w:r>
          </w:p>
        </w:tc>
        <w:tc>
          <w:tcPr>
            <w:tcW w:w="2551" w:type="dxa"/>
            <w:vAlign w:val="center"/>
          </w:tcPr>
          <w:p w14:paraId="099192B2">
            <w:pPr>
              <w:spacing w:line="400" w:lineRule="exact"/>
              <w:jc w:val="center"/>
              <w:rPr>
                <w:sz w:val="18"/>
                <w:szCs w:val="18"/>
                <w:lang w:val="en-US"/>
              </w:rPr>
            </w:pPr>
            <w:r>
              <w:rPr>
                <w:sz w:val="18"/>
                <w:szCs w:val="18"/>
                <w:lang w:val="en-US"/>
              </w:rPr>
              <w:t>5.89</w:t>
            </w:r>
          </w:p>
        </w:tc>
      </w:tr>
      <w:bookmarkEnd w:id="0"/>
    </w:tbl>
    <w:p w14:paraId="23FE0AAC">
      <w:bookmarkStart w:id="127" w:name="结论"/>
      <w:bookmarkEnd w:id="127"/>
    </w:p>
    <w:p w14:paraId="74F8A056">
      <w:pPr>
        <w:pStyle w:val="3"/>
        <w:ind w:firstLine="420"/>
        <w:rPr>
          <w:rFonts w:ascii="微软雅黑" w:hAnsi="微软雅黑" w:eastAsia="微软雅黑"/>
          <w:lang w:val="en-US"/>
        </w:rPr>
      </w:pPr>
      <w:bookmarkStart w:id="128" w:name="迎风建筑信息参评"/>
      <w:bookmarkEnd w:id="128"/>
    </w:p>
    <w:p w14:paraId="6FB05DEB">
      <w:pPr>
        <w:pStyle w:val="4"/>
      </w:pPr>
      <w:bookmarkStart w:id="129" w:name="_Toc20831"/>
      <w:r>
        <w:rPr>
          <w:rFonts w:hint="eastAsia"/>
        </w:rPr>
        <w:t>不参评建筑迎背风面窗平均风压差表</w:t>
      </w:r>
      <w:bookmarkEnd w:id="129"/>
    </w:p>
    <w:p w14:paraId="24BA54D9">
      <w:pPr>
        <w:pStyle w:val="3"/>
        <w:ind w:firstLine="420"/>
        <w:rPr>
          <w:rFonts w:ascii="微软雅黑" w:hAnsi="微软雅黑" w:eastAsia="微软雅黑"/>
          <w:lang w:val="en-US"/>
        </w:rPr>
      </w:pPr>
      <w:bookmarkStart w:id="130" w:name="迎风建筑信息不参评"/>
      <w:bookmarkEnd w:id="130"/>
    </w:p>
    <w:bookmarkEnd w:id="124"/>
    <w:p w14:paraId="2154FD52">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3A6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2BAC4C5">
          <w:pPr>
            <w:pStyle w:val="17"/>
            <w:spacing w:line="360" w:lineRule="exact"/>
            <w:rPr>
              <w:sz w:val="20"/>
              <w:szCs w:val="21"/>
            </w:rPr>
          </w:pPr>
        </w:p>
      </w:tc>
      <w:tc>
        <w:tcPr>
          <w:tcW w:w="2841" w:type="dxa"/>
        </w:tcPr>
        <w:p w14:paraId="3908F88B">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3733F94E">
          <w:pPr>
            <w:pStyle w:val="17"/>
            <w:spacing w:line="360" w:lineRule="exact"/>
            <w:jc w:val="right"/>
            <w:rPr>
              <w:sz w:val="20"/>
              <w:szCs w:val="21"/>
            </w:rPr>
          </w:pPr>
        </w:p>
      </w:tc>
    </w:tr>
  </w:tbl>
  <w:p w14:paraId="6EE250C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44CFB">
    <w:pPr>
      <w:pStyle w:val="17"/>
      <w:jc w:val="center"/>
      <w:rPr>
        <w:rFonts w:asciiTheme="minorEastAsia" w:hAnsiTheme="minorEastAsia" w:eastAsiaTheme="minorEastAsia"/>
        <w:szCs w:val="21"/>
      </w:rPr>
    </w:pPr>
  </w:p>
  <w:p w14:paraId="622C93B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FC5E0">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25202">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55F07"/>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4CF1E67"/>
    <w:rsid w:val="5D255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numbering" Target="numbering.xml"/><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shu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tmp4.dotx</Template>
  <Pages>18</Pages>
  <Words>4839</Words>
  <Characters>5573</Characters>
  <Lines>47</Lines>
  <Paragraphs>13</Paragraphs>
  <TotalTime>0</TotalTime>
  <ScaleCrop>false</ScaleCrop>
  <LinksUpToDate>false</LinksUpToDate>
  <CharactersWithSpaces>7441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2026-01-02T08:15:00Z</dcterms:created>
  <dc:creator>^_^</dc:creator>
  <cp:lastModifiedBy>^_^</cp:lastModifiedBy>
  <dcterms:modified xsi:type="dcterms:W3CDTF">2026-01-02T08:15:49Z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969ED238536A4350AA216949C1BD2586_11</vt:lpwstr>
  </property>
  <property fmtid="{D5CDD505-2E9C-101B-9397-08002B2CF9AE}" pid="4" name="KSOTemplateDocerSaveRecord">
    <vt:lpwstr>eyJoZGlkIjoiMjk3OGZlY2Q2ZmM2NWEyNDFjMDg3NmU1YTAyZmQ3ZTIiLCJ1c2VySWQiOiIzOTczMjMzMTYifQ==</vt:lpwstr>
  </property>
</Properties>
</file>