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64961">
      <w:pPr>
        <w:pStyle w:val="46"/>
      </w:pPr>
      <w:bookmarkStart w:id="169" w:name="_GoBack"/>
      <w:bookmarkEnd w:id="169"/>
    </w:p>
    <w:p w14:paraId="6FA39AE1">
      <w:pPr>
        <w:pStyle w:val="46"/>
      </w:pPr>
    </w:p>
    <w:p w14:paraId="3C7DEC47">
      <w:pPr>
        <w:pStyle w:val="46"/>
        <w:jc w:val="distribute"/>
        <w:rPr>
          <w:b/>
          <w:sz w:val="72"/>
          <w:szCs w:val="72"/>
        </w:rPr>
      </w:pPr>
      <w:r>
        <w:rPr>
          <w:rFonts w:hint="eastAsia"/>
          <w:b/>
          <w:sz w:val="72"/>
          <w:szCs w:val="72"/>
        </w:rPr>
        <w:t>室外风环境模拟分析报告</w:t>
      </w:r>
    </w:p>
    <w:p w14:paraId="54F7166B">
      <w:pPr>
        <w:pStyle w:val="50"/>
        <w:spacing w:line="400" w:lineRule="exact"/>
      </w:pPr>
    </w:p>
    <w:p w14:paraId="1CC52D16">
      <w:pPr>
        <w:pStyle w:val="50"/>
        <w:rPr>
          <w:b/>
        </w:rPr>
      </w:pPr>
      <w:bookmarkStart w:id="0" w:name="项目名称"/>
    </w:p>
    <w:p w14:paraId="6C81D93F">
      <w:pPr>
        <w:pStyle w:val="50"/>
        <w:rPr>
          <w:b/>
        </w:rPr>
      </w:pPr>
      <w:r>
        <w:rPr>
          <w:rFonts w:hint="eastAsia"/>
          <w:b/>
        </w:rPr>
        <w:t>设计编号：</w:t>
      </w:r>
      <w:bookmarkStart w:id="1" w:name="设计编号"/>
    </w:p>
    <w:p w14:paraId="3C92938D">
      <w:pPr>
        <w:pStyle w:val="50"/>
        <w:rPr>
          <w:b/>
        </w:rPr>
      </w:pPr>
    </w:p>
    <w:p w14:paraId="192B53D1">
      <w:pPr>
        <w:pStyle w:val="46"/>
        <w:jc w:val="center"/>
      </w:pPr>
      <w:bookmarkStart w:id="2" w:name="二维码"/>
      <w:r>
        <w:drawing>
          <wp:inline distT="0" distB="0" distL="0" distR="0">
            <wp:extent cx="1009650" cy="10096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2C9B878A">
      <w:pPr>
        <w:pStyle w:val="46"/>
        <w:jc w:val="center"/>
      </w:pPr>
    </w:p>
    <w:p w14:paraId="3CDCA02B">
      <w:pPr>
        <w:pStyle w:val="46"/>
        <w:jc w:val="cente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55F35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DE8D68C">
            <w:pPr>
              <w:pStyle w:val="46"/>
              <w:spacing w:line="240" w:lineRule="auto"/>
              <w:jc w:val="distribute"/>
            </w:pPr>
            <w:r>
              <w:rPr>
                <w:rFonts w:hint="eastAsia"/>
              </w:rPr>
              <w:t>工程地点</w:t>
            </w:r>
          </w:p>
        </w:tc>
        <w:tc>
          <w:tcPr>
            <w:tcW w:w="475" w:type="dxa"/>
            <w:vAlign w:val="center"/>
          </w:tcPr>
          <w:p w14:paraId="54DF7CCC">
            <w:pPr>
              <w:pStyle w:val="46"/>
              <w:spacing w:line="240" w:lineRule="auto"/>
              <w:ind w:right="-31" w:rightChars="-15"/>
              <w:jc w:val="center"/>
            </w:pPr>
            <w:r>
              <w:rPr>
                <w:rFonts w:hint="eastAsia"/>
              </w:rPr>
              <w:t>：</w:t>
            </w:r>
          </w:p>
        </w:tc>
        <w:tc>
          <w:tcPr>
            <w:tcW w:w="4624" w:type="dxa"/>
            <w:tcBorders>
              <w:bottom w:val="single" w:color="auto" w:sz="4" w:space="0"/>
            </w:tcBorders>
            <w:vAlign w:val="center"/>
          </w:tcPr>
          <w:p w14:paraId="6D19C55B">
            <w:pPr>
              <w:pStyle w:val="46"/>
              <w:spacing w:line="240" w:lineRule="auto"/>
              <w:jc w:val="center"/>
            </w:pPr>
            <w:bookmarkStart w:id="3" w:name="工程地点"/>
            <w:bookmarkStart w:id="4" w:name="项目地点"/>
            <w:r>
              <w:t>桂林</w:t>
            </w:r>
          </w:p>
        </w:tc>
      </w:tr>
      <w:tr w14:paraId="38AC3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ACAF1BE">
            <w:pPr>
              <w:pStyle w:val="46"/>
              <w:spacing w:line="240" w:lineRule="auto"/>
              <w:jc w:val="distribute"/>
            </w:pPr>
            <w:r>
              <w:rPr>
                <w:rFonts w:hint="eastAsia"/>
              </w:rPr>
              <w:t>建设单位</w:t>
            </w:r>
          </w:p>
        </w:tc>
        <w:tc>
          <w:tcPr>
            <w:tcW w:w="475" w:type="dxa"/>
            <w:vAlign w:val="center"/>
          </w:tcPr>
          <w:p w14:paraId="59B99188">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6C778A4D">
            <w:pPr>
              <w:pStyle w:val="46"/>
              <w:spacing w:line="240" w:lineRule="auto"/>
              <w:jc w:val="center"/>
            </w:pPr>
            <w:bookmarkStart w:id="5" w:name="建设单位"/>
          </w:p>
        </w:tc>
      </w:tr>
      <w:tr w14:paraId="4DB49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FF42347">
            <w:pPr>
              <w:pStyle w:val="46"/>
              <w:spacing w:line="240" w:lineRule="auto"/>
              <w:jc w:val="distribute"/>
            </w:pPr>
            <w:r>
              <w:rPr>
                <w:rFonts w:hint="eastAsia"/>
              </w:rPr>
              <w:t>设计单位</w:t>
            </w:r>
          </w:p>
        </w:tc>
        <w:tc>
          <w:tcPr>
            <w:tcW w:w="475" w:type="dxa"/>
            <w:vAlign w:val="center"/>
          </w:tcPr>
          <w:p w14:paraId="186950AD">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71CB8DBE">
            <w:pPr>
              <w:pStyle w:val="46"/>
              <w:spacing w:line="240" w:lineRule="auto"/>
              <w:jc w:val="center"/>
            </w:pPr>
            <w:bookmarkStart w:id="6" w:name="设计单位"/>
          </w:p>
        </w:tc>
      </w:tr>
      <w:tr w14:paraId="6BF55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5369AA7">
            <w:pPr>
              <w:pStyle w:val="46"/>
              <w:spacing w:line="240" w:lineRule="auto"/>
              <w:jc w:val="distribute"/>
            </w:pPr>
            <w:r>
              <w:rPr>
                <w:rFonts w:hint="eastAsia"/>
              </w:rPr>
              <w:t>设计人</w:t>
            </w:r>
          </w:p>
        </w:tc>
        <w:tc>
          <w:tcPr>
            <w:tcW w:w="475" w:type="dxa"/>
            <w:vAlign w:val="center"/>
          </w:tcPr>
          <w:p w14:paraId="24F297A0">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5FDF5FA4">
            <w:pPr>
              <w:pStyle w:val="46"/>
              <w:spacing w:line="240" w:lineRule="auto"/>
              <w:jc w:val="center"/>
            </w:pPr>
          </w:p>
        </w:tc>
      </w:tr>
      <w:tr w14:paraId="347EB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474EE64">
            <w:pPr>
              <w:pStyle w:val="46"/>
              <w:spacing w:line="240" w:lineRule="auto"/>
              <w:jc w:val="distribute"/>
            </w:pPr>
            <w:r>
              <w:rPr>
                <w:rFonts w:hint="eastAsia"/>
              </w:rPr>
              <w:t>校对人</w:t>
            </w:r>
          </w:p>
        </w:tc>
        <w:tc>
          <w:tcPr>
            <w:tcW w:w="475" w:type="dxa"/>
            <w:vAlign w:val="center"/>
          </w:tcPr>
          <w:p w14:paraId="72B4EE80">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1BA55431">
            <w:pPr>
              <w:pStyle w:val="46"/>
              <w:spacing w:line="240" w:lineRule="auto"/>
              <w:jc w:val="center"/>
            </w:pPr>
          </w:p>
        </w:tc>
      </w:tr>
      <w:tr w14:paraId="1B99D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30895A6">
            <w:pPr>
              <w:pStyle w:val="46"/>
              <w:spacing w:line="240" w:lineRule="auto"/>
              <w:jc w:val="distribute"/>
            </w:pPr>
            <w:r>
              <w:rPr>
                <w:rFonts w:hint="eastAsia"/>
              </w:rPr>
              <w:t>审定人</w:t>
            </w:r>
          </w:p>
        </w:tc>
        <w:tc>
          <w:tcPr>
            <w:tcW w:w="475" w:type="dxa"/>
            <w:vAlign w:val="center"/>
          </w:tcPr>
          <w:p w14:paraId="7BFB38EB">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12B230A1">
            <w:pPr>
              <w:pStyle w:val="46"/>
              <w:spacing w:line="240" w:lineRule="auto"/>
              <w:jc w:val="center"/>
            </w:pPr>
          </w:p>
        </w:tc>
      </w:tr>
      <w:tr w14:paraId="12BFD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D5CE925">
            <w:pPr>
              <w:pStyle w:val="46"/>
              <w:spacing w:line="240" w:lineRule="auto"/>
              <w:jc w:val="distribute"/>
            </w:pPr>
            <w:r>
              <w:rPr>
                <w:rFonts w:hint="eastAsia"/>
              </w:rPr>
              <w:t>报告日期</w:t>
            </w:r>
          </w:p>
        </w:tc>
        <w:tc>
          <w:tcPr>
            <w:tcW w:w="475" w:type="dxa"/>
            <w:vAlign w:val="center"/>
          </w:tcPr>
          <w:p w14:paraId="364DA69E">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06832071">
            <w:pPr>
              <w:pStyle w:val="46"/>
              <w:spacing w:line="240" w:lineRule="auto"/>
              <w:jc w:val="center"/>
            </w:pPr>
            <w:bookmarkStart w:id="7" w:name="报告日期"/>
            <w:r>
              <w:t>2026年01月03日</w:t>
            </w:r>
          </w:p>
        </w:tc>
      </w:tr>
    </w:tbl>
    <w:p w14:paraId="7089BE19"/>
    <w:p w14:paraId="22671D98">
      <w:pPr>
        <w:pStyle w:val="48"/>
      </w:pPr>
    </w:p>
    <w:tbl>
      <w:tblPr>
        <w:tblStyle w:val="22"/>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358FA7F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77A88FE0">
            <w:pPr>
              <w:pStyle w:val="4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7A17ABC9">
            <w:pPr>
              <w:pStyle w:val="48"/>
              <w:rPr>
                <w:szCs w:val="18"/>
              </w:rPr>
            </w:pPr>
            <w:r>
              <w:rPr>
                <w:rFonts w:hint="eastAsia"/>
                <w:szCs w:val="18"/>
              </w:rPr>
              <w:t xml:space="preserve">: </w:t>
            </w:r>
            <w:bookmarkStart w:id="8" w:name="采用软件"/>
            <w:r>
              <w:rPr>
                <w:rFonts w:hint="eastAsia"/>
                <w:szCs w:val="18"/>
              </w:rPr>
              <w:t>建筑通风Vent2025</w:t>
            </w:r>
          </w:p>
        </w:tc>
        <w:tc>
          <w:tcPr>
            <w:tcW w:w="3958" w:type="dxa"/>
            <w:vMerge w:val="restart"/>
            <w:tcBorders>
              <w:top w:val="single" w:color="auto" w:sz="2" w:space="0"/>
              <w:left w:val="nil"/>
              <w:bottom w:val="nil"/>
              <w:right w:val="nil"/>
            </w:tcBorders>
            <w:vAlign w:val="bottom"/>
          </w:tcPr>
          <w:p w14:paraId="1051DCBB">
            <w:pPr>
              <w:pStyle w:val="4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4BE2217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D1A4A05">
            <w:pPr>
              <w:pStyle w:val="48"/>
              <w:jc w:val="distribute"/>
              <w:rPr>
                <w:szCs w:val="18"/>
              </w:rPr>
            </w:pPr>
            <w:r>
              <w:rPr>
                <w:rFonts w:hint="eastAsia"/>
                <w:szCs w:val="18"/>
              </w:rPr>
              <w:t>软件版本</w:t>
            </w:r>
          </w:p>
        </w:tc>
        <w:tc>
          <w:tcPr>
            <w:tcW w:w="3143" w:type="dxa"/>
            <w:tcBorders>
              <w:top w:val="nil"/>
              <w:left w:val="nil"/>
              <w:bottom w:val="nil"/>
              <w:right w:val="nil"/>
            </w:tcBorders>
            <w:vAlign w:val="bottom"/>
          </w:tcPr>
          <w:p w14:paraId="61FA6291">
            <w:pPr>
              <w:pStyle w:val="48"/>
            </w:pPr>
            <w:r>
              <w:rPr>
                <w:rFonts w:hint="eastAsia"/>
              </w:rPr>
              <w:t xml:space="preserve">: </w:t>
            </w:r>
            <w:bookmarkStart w:id="9" w:name="软件版本"/>
            <w:r>
              <w:rPr>
                <w:rFonts w:hint="eastAsia"/>
              </w:rPr>
              <w:t>20250505(PLUS)</w:t>
            </w:r>
          </w:p>
        </w:tc>
        <w:tc>
          <w:tcPr>
            <w:tcW w:w="3958" w:type="dxa"/>
            <w:vMerge w:val="continue"/>
            <w:tcBorders>
              <w:top w:val="single" w:color="auto" w:sz="2" w:space="0"/>
              <w:left w:val="nil"/>
              <w:bottom w:val="nil"/>
              <w:right w:val="nil"/>
            </w:tcBorders>
            <w:vAlign w:val="center"/>
          </w:tcPr>
          <w:p w14:paraId="1F79E0FA">
            <w:pPr>
              <w:spacing w:line="360" w:lineRule="exact"/>
              <w:ind w:firstLine="360"/>
              <w:rPr>
                <w:sz w:val="18"/>
                <w:szCs w:val="18"/>
              </w:rPr>
            </w:pPr>
          </w:p>
        </w:tc>
      </w:tr>
      <w:tr w14:paraId="233E1DF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7F92E7F">
            <w:pPr>
              <w:pStyle w:val="48"/>
              <w:jc w:val="distribute"/>
              <w:rPr>
                <w:szCs w:val="18"/>
              </w:rPr>
            </w:pPr>
            <w:r>
              <w:rPr>
                <w:rFonts w:hint="eastAsia"/>
                <w:szCs w:val="18"/>
              </w:rPr>
              <w:t>正版授权码</w:t>
            </w:r>
          </w:p>
        </w:tc>
        <w:tc>
          <w:tcPr>
            <w:tcW w:w="3143" w:type="dxa"/>
            <w:tcBorders>
              <w:top w:val="nil"/>
              <w:left w:val="nil"/>
              <w:bottom w:val="nil"/>
              <w:right w:val="nil"/>
            </w:tcBorders>
            <w:vAlign w:val="bottom"/>
          </w:tcPr>
          <w:p w14:paraId="6099037A">
            <w:pPr>
              <w:pStyle w:val="48"/>
              <w:rPr>
                <w:szCs w:val="18"/>
              </w:rPr>
            </w:pPr>
            <w:r>
              <w:rPr>
                <w:rFonts w:hint="eastAsia"/>
                <w:szCs w:val="18"/>
              </w:rPr>
              <w:t xml:space="preserve">: </w:t>
            </w:r>
            <w:bookmarkStart w:id="10" w:name="加密锁号"/>
            <w:r>
              <w:rPr>
                <w:rFonts w:hint="eastAsia"/>
                <w:szCs w:val="18"/>
              </w:rPr>
              <w:t>SP57932059</w:t>
            </w:r>
          </w:p>
        </w:tc>
        <w:tc>
          <w:tcPr>
            <w:tcW w:w="3958" w:type="dxa"/>
            <w:vMerge w:val="continue"/>
            <w:tcBorders>
              <w:top w:val="single" w:color="auto" w:sz="2" w:space="0"/>
              <w:left w:val="nil"/>
              <w:bottom w:val="nil"/>
              <w:right w:val="nil"/>
            </w:tcBorders>
            <w:vAlign w:val="center"/>
          </w:tcPr>
          <w:p w14:paraId="7520CEAD">
            <w:pPr>
              <w:spacing w:line="360" w:lineRule="exact"/>
              <w:ind w:firstLine="360"/>
              <w:rPr>
                <w:sz w:val="18"/>
                <w:szCs w:val="18"/>
              </w:rPr>
            </w:pPr>
          </w:p>
        </w:tc>
      </w:tr>
      <w:tr w14:paraId="04DE84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2973033">
            <w:pPr>
              <w:pStyle w:val="48"/>
              <w:jc w:val="distribute"/>
              <w:rPr>
                <w:szCs w:val="18"/>
              </w:rPr>
            </w:pPr>
            <w:r>
              <w:rPr>
                <w:rFonts w:hint="eastAsia"/>
                <w:szCs w:val="18"/>
              </w:rPr>
              <w:t>研发单位</w:t>
            </w:r>
          </w:p>
        </w:tc>
        <w:tc>
          <w:tcPr>
            <w:tcW w:w="3143" w:type="dxa"/>
            <w:tcBorders>
              <w:top w:val="nil"/>
              <w:left w:val="nil"/>
              <w:bottom w:val="nil"/>
              <w:right w:val="nil"/>
            </w:tcBorders>
            <w:vAlign w:val="bottom"/>
          </w:tcPr>
          <w:p w14:paraId="042171BF">
            <w:pPr>
              <w:pStyle w:val="4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2EB77A8F">
            <w:pPr>
              <w:spacing w:line="360" w:lineRule="exact"/>
              <w:ind w:firstLine="360"/>
              <w:rPr>
                <w:sz w:val="18"/>
                <w:szCs w:val="18"/>
              </w:rPr>
            </w:pPr>
          </w:p>
        </w:tc>
      </w:tr>
    </w:tbl>
    <w:p w14:paraId="09E3876A">
      <w:pPr>
        <w:jc w:val="center"/>
        <w:rPr>
          <w:b/>
          <w:bCs/>
          <w:sz w:val="32"/>
          <w:szCs w:val="32"/>
        </w:rPr>
      </w:pPr>
      <w:r>
        <w:rPr>
          <w:b/>
          <w:bCs/>
          <w:sz w:val="28"/>
          <w:szCs w:val="32"/>
        </w:rPr>
        <w:br w:type="page"/>
      </w:r>
      <w:r>
        <w:rPr>
          <w:rFonts w:hint="eastAsia"/>
          <w:b/>
          <w:bCs/>
          <w:sz w:val="28"/>
          <w:szCs w:val="32"/>
        </w:rPr>
        <w:t>目  录</w:t>
      </w:r>
    </w:p>
    <w:p w14:paraId="1D870FB7">
      <w:pPr>
        <w:pStyle w:val="19"/>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_Toc31995 </w:instrText>
      </w:r>
      <w:r>
        <w:rPr>
          <w:caps/>
        </w:rPr>
        <w:fldChar w:fldCharType="separate"/>
      </w:r>
      <w:r>
        <w:rPr>
          <w:rFonts w:hint="eastAsia" w:ascii="微软雅黑" w:hAnsi="微软雅黑" w:eastAsia="微软雅黑"/>
        </w:rPr>
        <w:t xml:space="preserve">1 </w:t>
      </w:r>
      <w:r>
        <w:rPr>
          <w:rFonts w:hint="eastAsia" w:ascii="微软雅黑" w:hAnsi="微软雅黑"/>
        </w:rPr>
        <w:t>项目概况</w:t>
      </w:r>
      <w:r>
        <w:tab/>
      </w:r>
      <w:r>
        <w:fldChar w:fldCharType="begin"/>
      </w:r>
      <w:r>
        <w:instrText xml:space="preserve"> PAGEREF _Toc31995 \h </w:instrText>
      </w:r>
      <w:r>
        <w:fldChar w:fldCharType="separate"/>
      </w:r>
      <w:r>
        <w:t>3</w:t>
      </w:r>
      <w:r>
        <w:fldChar w:fldCharType="end"/>
      </w:r>
      <w:r>
        <w:rPr>
          <w:caps/>
        </w:rPr>
        <w:fldChar w:fldCharType="end"/>
      </w:r>
    </w:p>
    <w:p w14:paraId="3FC0F07E">
      <w:pPr>
        <w:pStyle w:val="20"/>
        <w:tabs>
          <w:tab w:val="right" w:leader="dot" w:pos="8306"/>
          <w:tab w:val="clear" w:pos="540"/>
          <w:tab w:val="clear" w:pos="840"/>
          <w:tab w:val="clear" w:pos="8222"/>
          <w:tab w:val="clear" w:pos="8296"/>
        </w:tabs>
      </w:pPr>
      <w:r>
        <w:fldChar w:fldCharType="begin"/>
      </w:r>
      <w:r>
        <w:instrText xml:space="preserve"> HYPERLINK \l _Toc9259 </w:instrText>
      </w:r>
      <w:r>
        <w:fldChar w:fldCharType="separate"/>
      </w:r>
      <w:r>
        <w:rPr>
          <w:rFonts w:hint="eastAsia" w:ascii="微软雅黑" w:hAnsi="微软雅黑" w:eastAsia="微软雅黑"/>
          <w:lang w:val="en-GB"/>
        </w:rPr>
        <w:t xml:space="preserve">1.1 </w:t>
      </w:r>
      <w:r>
        <w:rPr>
          <w:rFonts w:hint="eastAsia"/>
        </w:rPr>
        <w:t>总</w:t>
      </w:r>
      <w:r>
        <w:t>平面图</w:t>
      </w:r>
      <w:r>
        <w:tab/>
      </w:r>
      <w:r>
        <w:fldChar w:fldCharType="begin"/>
      </w:r>
      <w:r>
        <w:instrText xml:space="preserve"> PAGEREF _Toc9259 \h </w:instrText>
      </w:r>
      <w:r>
        <w:fldChar w:fldCharType="separate"/>
      </w:r>
      <w:r>
        <w:t>3</w:t>
      </w:r>
      <w:r>
        <w:fldChar w:fldCharType="end"/>
      </w:r>
      <w:r>
        <w:fldChar w:fldCharType="end"/>
      </w:r>
    </w:p>
    <w:p w14:paraId="51E53A8A">
      <w:pPr>
        <w:pStyle w:val="20"/>
        <w:tabs>
          <w:tab w:val="right" w:leader="dot" w:pos="8306"/>
          <w:tab w:val="clear" w:pos="540"/>
          <w:tab w:val="clear" w:pos="840"/>
          <w:tab w:val="clear" w:pos="8222"/>
          <w:tab w:val="clear" w:pos="8296"/>
        </w:tabs>
      </w:pPr>
      <w:r>
        <w:fldChar w:fldCharType="begin"/>
      </w:r>
      <w:r>
        <w:instrText xml:space="preserve"> HYPERLINK \l _Toc22019 </w:instrText>
      </w:r>
      <w:r>
        <w:fldChar w:fldCharType="separate"/>
      </w:r>
      <w:r>
        <w:rPr>
          <w:rFonts w:hint="eastAsia" w:ascii="微软雅黑" w:hAnsi="微软雅黑" w:eastAsia="微软雅黑"/>
          <w:lang w:val="en-GB"/>
        </w:rPr>
        <w:t xml:space="preserve">1.2 </w:t>
      </w:r>
      <w:r>
        <w:rPr>
          <w:rFonts w:hint="eastAsia"/>
        </w:rPr>
        <w:t>三</w:t>
      </w:r>
      <w:r>
        <w:t>维视图</w:t>
      </w:r>
      <w:r>
        <w:tab/>
      </w:r>
      <w:r>
        <w:fldChar w:fldCharType="begin"/>
      </w:r>
      <w:r>
        <w:instrText xml:space="preserve"> PAGEREF _Toc22019 \h </w:instrText>
      </w:r>
      <w:r>
        <w:fldChar w:fldCharType="separate"/>
      </w:r>
      <w:r>
        <w:t>3</w:t>
      </w:r>
      <w:r>
        <w:fldChar w:fldCharType="end"/>
      </w:r>
      <w:r>
        <w:fldChar w:fldCharType="end"/>
      </w:r>
    </w:p>
    <w:p w14:paraId="27879ABA">
      <w:pPr>
        <w:pStyle w:val="19"/>
        <w:tabs>
          <w:tab w:val="right" w:leader="dot" w:pos="8306"/>
          <w:tab w:val="clear" w:pos="180"/>
          <w:tab w:val="clear" w:pos="420"/>
          <w:tab w:val="clear" w:pos="8222"/>
        </w:tabs>
      </w:pPr>
      <w:r>
        <w:fldChar w:fldCharType="begin"/>
      </w:r>
      <w:r>
        <w:instrText xml:space="preserve"> HYPERLINK \l _Toc8497 </w:instrText>
      </w:r>
      <w:r>
        <w:fldChar w:fldCharType="separate"/>
      </w:r>
      <w:r>
        <w:rPr>
          <w:rFonts w:hint="eastAsia" w:ascii="微软雅黑" w:hAnsi="微软雅黑" w:eastAsia="微软雅黑"/>
        </w:rPr>
        <w:t xml:space="preserve">2 </w:t>
      </w:r>
      <w:r>
        <w:rPr>
          <w:rFonts w:hint="eastAsia" w:ascii="微软雅黑" w:hAnsi="微软雅黑"/>
        </w:rPr>
        <w:t>计算</w:t>
      </w:r>
      <w:r>
        <w:rPr>
          <w:rFonts w:ascii="微软雅黑" w:hAnsi="微软雅黑"/>
        </w:rPr>
        <w:t>依据</w:t>
      </w:r>
      <w:r>
        <w:tab/>
      </w:r>
      <w:r>
        <w:fldChar w:fldCharType="begin"/>
      </w:r>
      <w:r>
        <w:instrText xml:space="preserve"> PAGEREF _Toc8497 \h </w:instrText>
      </w:r>
      <w:r>
        <w:fldChar w:fldCharType="separate"/>
      </w:r>
      <w:r>
        <w:t>4</w:t>
      </w:r>
      <w:r>
        <w:fldChar w:fldCharType="end"/>
      </w:r>
      <w:r>
        <w:fldChar w:fldCharType="end"/>
      </w:r>
    </w:p>
    <w:p w14:paraId="0980482E">
      <w:pPr>
        <w:pStyle w:val="19"/>
        <w:tabs>
          <w:tab w:val="right" w:leader="dot" w:pos="8306"/>
          <w:tab w:val="clear" w:pos="180"/>
          <w:tab w:val="clear" w:pos="420"/>
          <w:tab w:val="clear" w:pos="8222"/>
        </w:tabs>
      </w:pPr>
      <w:r>
        <w:fldChar w:fldCharType="begin"/>
      </w:r>
      <w:r>
        <w:instrText xml:space="preserve"> HYPERLINK \l _Toc22712 </w:instrText>
      </w:r>
      <w:r>
        <w:fldChar w:fldCharType="separate"/>
      </w:r>
      <w:r>
        <w:rPr>
          <w:rFonts w:hint="eastAsia" w:ascii="微软雅黑" w:hAnsi="微软雅黑" w:eastAsia="微软雅黑"/>
        </w:rPr>
        <w:t xml:space="preserve">3 </w:t>
      </w:r>
      <w:r>
        <w:rPr>
          <w:rFonts w:hint="eastAsia" w:ascii="微软雅黑" w:hAnsi="微软雅黑"/>
        </w:rPr>
        <w:t>参考</w:t>
      </w:r>
      <w:r>
        <w:rPr>
          <w:rFonts w:ascii="微软雅黑" w:hAnsi="微软雅黑"/>
        </w:rPr>
        <w:t>标准</w:t>
      </w:r>
      <w:r>
        <w:tab/>
      </w:r>
      <w:r>
        <w:fldChar w:fldCharType="begin"/>
      </w:r>
      <w:r>
        <w:instrText xml:space="preserve"> PAGEREF _Toc22712 \h </w:instrText>
      </w:r>
      <w:r>
        <w:fldChar w:fldCharType="separate"/>
      </w:r>
      <w:r>
        <w:t>5</w:t>
      </w:r>
      <w:r>
        <w:fldChar w:fldCharType="end"/>
      </w:r>
      <w:r>
        <w:fldChar w:fldCharType="end"/>
      </w:r>
    </w:p>
    <w:p w14:paraId="01322D45">
      <w:pPr>
        <w:pStyle w:val="19"/>
        <w:tabs>
          <w:tab w:val="right" w:leader="dot" w:pos="8306"/>
          <w:tab w:val="clear" w:pos="180"/>
          <w:tab w:val="clear" w:pos="420"/>
          <w:tab w:val="clear" w:pos="8222"/>
        </w:tabs>
      </w:pPr>
      <w:r>
        <w:fldChar w:fldCharType="begin"/>
      </w:r>
      <w:r>
        <w:instrText xml:space="preserve"> HYPERLINK \l _Toc30048 </w:instrText>
      </w:r>
      <w:r>
        <w:fldChar w:fldCharType="separate"/>
      </w:r>
      <w:r>
        <w:rPr>
          <w:rFonts w:hint="eastAsia" w:ascii="微软雅黑" w:hAnsi="微软雅黑" w:eastAsia="微软雅黑"/>
        </w:rPr>
        <w:t xml:space="preserve">4 </w:t>
      </w:r>
      <w:r>
        <w:rPr>
          <w:rFonts w:hint="eastAsia" w:ascii="微软雅黑" w:hAnsi="微软雅黑"/>
        </w:rPr>
        <w:t>计算原理</w:t>
      </w:r>
      <w:r>
        <w:tab/>
      </w:r>
      <w:r>
        <w:fldChar w:fldCharType="begin"/>
      </w:r>
      <w:r>
        <w:instrText xml:space="preserve"> PAGEREF _Toc30048 \h </w:instrText>
      </w:r>
      <w:r>
        <w:fldChar w:fldCharType="separate"/>
      </w:r>
      <w:r>
        <w:t>5</w:t>
      </w:r>
      <w:r>
        <w:fldChar w:fldCharType="end"/>
      </w:r>
      <w:r>
        <w:fldChar w:fldCharType="end"/>
      </w:r>
    </w:p>
    <w:p w14:paraId="445A498F">
      <w:pPr>
        <w:pStyle w:val="20"/>
        <w:tabs>
          <w:tab w:val="right" w:leader="dot" w:pos="8306"/>
          <w:tab w:val="clear" w:pos="540"/>
          <w:tab w:val="clear" w:pos="840"/>
          <w:tab w:val="clear" w:pos="8222"/>
          <w:tab w:val="clear" w:pos="8296"/>
        </w:tabs>
      </w:pPr>
      <w:r>
        <w:fldChar w:fldCharType="begin"/>
      </w:r>
      <w:r>
        <w:instrText xml:space="preserve"> HYPERLINK \l _Toc27231 </w:instrText>
      </w:r>
      <w:r>
        <w:fldChar w:fldCharType="separate"/>
      </w:r>
      <w:r>
        <w:rPr>
          <w:rFonts w:hint="eastAsia" w:ascii="微软雅黑" w:hAnsi="微软雅黑" w:eastAsia="微软雅黑"/>
          <w:lang w:val="en-GB"/>
        </w:rPr>
        <w:t xml:space="preserve">4.1 </w:t>
      </w:r>
      <w:r>
        <w:rPr>
          <w:rFonts w:hint="eastAsia"/>
        </w:rPr>
        <w:t>风场计算域</w:t>
      </w:r>
      <w:r>
        <w:tab/>
      </w:r>
      <w:r>
        <w:fldChar w:fldCharType="begin"/>
      </w:r>
      <w:r>
        <w:instrText xml:space="preserve"> PAGEREF _Toc27231 \h </w:instrText>
      </w:r>
      <w:r>
        <w:fldChar w:fldCharType="separate"/>
      </w:r>
      <w:r>
        <w:t>5</w:t>
      </w:r>
      <w:r>
        <w:fldChar w:fldCharType="end"/>
      </w:r>
      <w:r>
        <w:fldChar w:fldCharType="end"/>
      </w:r>
    </w:p>
    <w:p w14:paraId="4D514964">
      <w:pPr>
        <w:pStyle w:val="20"/>
        <w:tabs>
          <w:tab w:val="right" w:leader="dot" w:pos="8306"/>
          <w:tab w:val="clear" w:pos="540"/>
          <w:tab w:val="clear" w:pos="840"/>
          <w:tab w:val="clear" w:pos="8222"/>
          <w:tab w:val="clear" w:pos="8296"/>
        </w:tabs>
      </w:pPr>
      <w:r>
        <w:fldChar w:fldCharType="begin"/>
      </w:r>
      <w:r>
        <w:instrText xml:space="preserve"> HYPERLINK \l _Toc11373 </w:instrText>
      </w:r>
      <w:r>
        <w:fldChar w:fldCharType="separate"/>
      </w:r>
      <w:r>
        <w:rPr>
          <w:rFonts w:hint="eastAsia" w:ascii="微软雅黑" w:hAnsi="微软雅黑" w:eastAsia="微软雅黑"/>
          <w:lang w:val="en-GB"/>
        </w:rPr>
        <w:t xml:space="preserve">4.2 </w:t>
      </w:r>
      <w:r>
        <w:rPr>
          <w:rFonts w:hint="eastAsia"/>
        </w:rPr>
        <w:t>网格划分</w:t>
      </w:r>
      <w:r>
        <w:tab/>
      </w:r>
      <w:r>
        <w:fldChar w:fldCharType="begin"/>
      </w:r>
      <w:r>
        <w:instrText xml:space="preserve"> PAGEREF _Toc11373 \h </w:instrText>
      </w:r>
      <w:r>
        <w:fldChar w:fldCharType="separate"/>
      </w:r>
      <w:r>
        <w:t>7</w:t>
      </w:r>
      <w:r>
        <w:fldChar w:fldCharType="end"/>
      </w:r>
      <w:r>
        <w:fldChar w:fldCharType="end"/>
      </w:r>
    </w:p>
    <w:p w14:paraId="551DACAE">
      <w:pPr>
        <w:pStyle w:val="20"/>
        <w:tabs>
          <w:tab w:val="right" w:leader="dot" w:pos="8306"/>
          <w:tab w:val="clear" w:pos="540"/>
          <w:tab w:val="clear" w:pos="840"/>
          <w:tab w:val="clear" w:pos="8222"/>
          <w:tab w:val="clear" w:pos="8296"/>
        </w:tabs>
      </w:pPr>
      <w:r>
        <w:fldChar w:fldCharType="begin"/>
      </w:r>
      <w:r>
        <w:instrText xml:space="preserve"> HYPERLINK \l _Toc15704 </w:instrText>
      </w:r>
      <w:r>
        <w:fldChar w:fldCharType="separate"/>
      </w:r>
      <w:r>
        <w:rPr>
          <w:rFonts w:hint="eastAsia" w:ascii="微软雅黑" w:hAnsi="微软雅黑" w:eastAsia="微软雅黑"/>
          <w:lang w:val="en-GB"/>
        </w:rPr>
        <w:t xml:space="preserve">4.3 </w:t>
      </w:r>
      <w:r>
        <w:rPr>
          <w:rFonts w:hint="eastAsia"/>
        </w:rPr>
        <w:t>边界条件</w:t>
      </w:r>
      <w:r>
        <w:tab/>
      </w:r>
      <w:r>
        <w:fldChar w:fldCharType="begin"/>
      </w:r>
      <w:r>
        <w:instrText xml:space="preserve"> PAGEREF _Toc15704 \h </w:instrText>
      </w:r>
      <w:r>
        <w:fldChar w:fldCharType="separate"/>
      </w:r>
      <w:r>
        <w:t>9</w:t>
      </w:r>
      <w:r>
        <w:fldChar w:fldCharType="end"/>
      </w:r>
      <w:r>
        <w:fldChar w:fldCharType="end"/>
      </w:r>
    </w:p>
    <w:p w14:paraId="07F700FE">
      <w:pPr>
        <w:pStyle w:val="20"/>
        <w:tabs>
          <w:tab w:val="right" w:leader="dot" w:pos="8306"/>
          <w:tab w:val="clear" w:pos="540"/>
          <w:tab w:val="clear" w:pos="840"/>
          <w:tab w:val="clear" w:pos="8222"/>
          <w:tab w:val="clear" w:pos="8296"/>
        </w:tabs>
      </w:pPr>
      <w:r>
        <w:fldChar w:fldCharType="begin"/>
      </w:r>
      <w:r>
        <w:instrText xml:space="preserve"> HYPERLINK \l _Toc5830 </w:instrText>
      </w:r>
      <w:r>
        <w:fldChar w:fldCharType="separate"/>
      </w:r>
      <w:r>
        <w:rPr>
          <w:rFonts w:hint="eastAsia" w:ascii="微软雅黑" w:hAnsi="微软雅黑" w:eastAsia="微软雅黑"/>
          <w:lang w:val="en-GB"/>
        </w:rPr>
        <w:t xml:space="preserve">4.4 </w:t>
      </w:r>
      <w:r>
        <w:rPr>
          <w:rFonts w:hint="eastAsia"/>
        </w:rPr>
        <w:t>湍流模型</w:t>
      </w:r>
      <w:r>
        <w:tab/>
      </w:r>
      <w:r>
        <w:fldChar w:fldCharType="begin"/>
      </w:r>
      <w:r>
        <w:instrText xml:space="preserve"> PAGEREF _Toc5830 \h </w:instrText>
      </w:r>
      <w:r>
        <w:fldChar w:fldCharType="separate"/>
      </w:r>
      <w:r>
        <w:t>11</w:t>
      </w:r>
      <w:r>
        <w:fldChar w:fldCharType="end"/>
      </w:r>
      <w:r>
        <w:fldChar w:fldCharType="end"/>
      </w:r>
    </w:p>
    <w:p w14:paraId="2C88B05A">
      <w:pPr>
        <w:pStyle w:val="20"/>
        <w:tabs>
          <w:tab w:val="right" w:leader="dot" w:pos="8306"/>
          <w:tab w:val="clear" w:pos="540"/>
          <w:tab w:val="clear" w:pos="840"/>
          <w:tab w:val="clear" w:pos="8222"/>
          <w:tab w:val="clear" w:pos="8296"/>
        </w:tabs>
      </w:pPr>
      <w:r>
        <w:fldChar w:fldCharType="begin"/>
      </w:r>
      <w:r>
        <w:instrText xml:space="preserve"> HYPERLINK \l _Toc29086 </w:instrText>
      </w:r>
      <w:r>
        <w:fldChar w:fldCharType="separate"/>
      </w:r>
      <w:r>
        <w:rPr>
          <w:rFonts w:hint="eastAsia" w:ascii="微软雅黑" w:hAnsi="微软雅黑" w:eastAsia="微软雅黑"/>
          <w:lang w:val="en-GB"/>
        </w:rPr>
        <w:t xml:space="preserve">4.5 </w:t>
      </w:r>
      <w:r>
        <w:rPr>
          <w:rFonts w:hint="eastAsia"/>
        </w:rPr>
        <w:t>求解计算</w:t>
      </w:r>
      <w:r>
        <w:tab/>
      </w:r>
      <w:r>
        <w:fldChar w:fldCharType="begin"/>
      </w:r>
      <w:r>
        <w:instrText xml:space="preserve"> PAGEREF _Toc29086 \h </w:instrText>
      </w:r>
      <w:r>
        <w:fldChar w:fldCharType="separate"/>
      </w:r>
      <w:r>
        <w:t>11</w:t>
      </w:r>
      <w:r>
        <w:fldChar w:fldCharType="end"/>
      </w:r>
      <w:r>
        <w:fldChar w:fldCharType="end"/>
      </w:r>
    </w:p>
    <w:p w14:paraId="185B50D0">
      <w:pPr>
        <w:pStyle w:val="20"/>
        <w:tabs>
          <w:tab w:val="right" w:leader="dot" w:pos="8306"/>
          <w:tab w:val="clear" w:pos="540"/>
          <w:tab w:val="clear" w:pos="840"/>
          <w:tab w:val="clear" w:pos="8222"/>
          <w:tab w:val="clear" w:pos="8296"/>
        </w:tabs>
      </w:pPr>
      <w:r>
        <w:fldChar w:fldCharType="begin"/>
      </w:r>
      <w:r>
        <w:instrText xml:space="preserve"> HYPERLINK \l _Toc18590 </w:instrText>
      </w:r>
      <w:r>
        <w:fldChar w:fldCharType="separate"/>
      </w:r>
      <w:r>
        <w:rPr>
          <w:rFonts w:hint="eastAsia" w:ascii="微软雅黑" w:hAnsi="微软雅黑" w:eastAsia="微软雅黑"/>
          <w:lang w:val="en-GB"/>
        </w:rPr>
        <w:t xml:space="preserve">4.6 </w:t>
      </w:r>
      <w:r>
        <w:rPr>
          <w:rFonts w:hint="eastAsia"/>
        </w:rPr>
        <w:t>风速放大系数计算</w:t>
      </w:r>
      <w:r>
        <w:tab/>
      </w:r>
      <w:r>
        <w:fldChar w:fldCharType="begin"/>
      </w:r>
      <w:r>
        <w:instrText xml:space="preserve"> PAGEREF _Toc18590 \h </w:instrText>
      </w:r>
      <w:r>
        <w:fldChar w:fldCharType="separate"/>
      </w:r>
      <w:r>
        <w:t>12</w:t>
      </w:r>
      <w:r>
        <w:fldChar w:fldCharType="end"/>
      </w:r>
      <w:r>
        <w:fldChar w:fldCharType="end"/>
      </w:r>
    </w:p>
    <w:p w14:paraId="66BF6E61">
      <w:pPr>
        <w:pStyle w:val="19"/>
        <w:tabs>
          <w:tab w:val="right" w:leader="dot" w:pos="8306"/>
          <w:tab w:val="clear" w:pos="180"/>
          <w:tab w:val="clear" w:pos="420"/>
          <w:tab w:val="clear" w:pos="8222"/>
        </w:tabs>
      </w:pPr>
      <w:r>
        <w:fldChar w:fldCharType="begin"/>
      </w:r>
      <w:r>
        <w:instrText xml:space="preserve"> HYPERLINK \l _Toc30261 </w:instrText>
      </w:r>
      <w:r>
        <w:fldChar w:fldCharType="separate"/>
      </w:r>
      <w:r>
        <w:rPr>
          <w:rFonts w:hint="eastAsia" w:ascii="微软雅黑" w:hAnsi="微软雅黑" w:eastAsia="微软雅黑"/>
        </w:rPr>
        <w:t xml:space="preserve">5 </w:t>
      </w:r>
      <w:r>
        <w:rPr>
          <w:rFonts w:hint="eastAsia" w:ascii="微软雅黑" w:hAnsi="微软雅黑"/>
        </w:rPr>
        <w:t>结果</w:t>
      </w:r>
      <w:r>
        <w:rPr>
          <w:rFonts w:ascii="微软雅黑" w:hAnsi="微软雅黑"/>
        </w:rPr>
        <w:t>分析</w:t>
      </w:r>
      <w:r>
        <w:tab/>
      </w:r>
      <w:r>
        <w:fldChar w:fldCharType="begin"/>
      </w:r>
      <w:r>
        <w:instrText xml:space="preserve"> PAGEREF _Toc30261 \h </w:instrText>
      </w:r>
      <w:r>
        <w:fldChar w:fldCharType="separate"/>
      </w:r>
      <w:r>
        <w:t>13</w:t>
      </w:r>
      <w:r>
        <w:fldChar w:fldCharType="end"/>
      </w:r>
      <w:r>
        <w:fldChar w:fldCharType="end"/>
      </w:r>
    </w:p>
    <w:p w14:paraId="026FE1DC">
      <w:pPr>
        <w:pStyle w:val="20"/>
        <w:tabs>
          <w:tab w:val="right" w:leader="dot" w:pos="8306"/>
          <w:tab w:val="clear" w:pos="540"/>
          <w:tab w:val="clear" w:pos="840"/>
          <w:tab w:val="clear" w:pos="8222"/>
          <w:tab w:val="clear" w:pos="8296"/>
        </w:tabs>
      </w:pPr>
      <w:r>
        <w:fldChar w:fldCharType="begin"/>
      </w:r>
      <w:r>
        <w:instrText xml:space="preserve"> HYPERLINK \l _Toc23068 </w:instrText>
      </w:r>
      <w:r>
        <w:fldChar w:fldCharType="separate"/>
      </w:r>
      <w:r>
        <w:rPr>
          <w:rFonts w:hint="eastAsia" w:ascii="微软雅黑" w:hAnsi="微软雅黑" w:eastAsia="微软雅黑"/>
          <w:szCs w:val="21"/>
          <w:lang w:val="en-GB"/>
        </w:rPr>
        <w:t xml:space="preserve">5.1 </w:t>
      </w:r>
      <w:r>
        <w:rPr>
          <w:rFonts w:hint="eastAsia"/>
          <w:szCs w:val="21"/>
        </w:rPr>
        <w:t>工况</w:t>
      </w:r>
      <w:r>
        <w:rPr>
          <w:szCs w:val="21"/>
        </w:rPr>
        <w:t>表</w:t>
      </w:r>
      <w:r>
        <w:tab/>
      </w:r>
      <w:r>
        <w:fldChar w:fldCharType="begin"/>
      </w:r>
      <w:r>
        <w:instrText xml:space="preserve"> PAGEREF _Toc23068 \h </w:instrText>
      </w:r>
      <w:r>
        <w:fldChar w:fldCharType="separate"/>
      </w:r>
      <w:r>
        <w:t>13</w:t>
      </w:r>
      <w:r>
        <w:fldChar w:fldCharType="end"/>
      </w:r>
      <w:r>
        <w:fldChar w:fldCharType="end"/>
      </w:r>
    </w:p>
    <w:p w14:paraId="5E11DD33">
      <w:pPr>
        <w:pStyle w:val="20"/>
        <w:tabs>
          <w:tab w:val="right" w:leader="dot" w:pos="8306"/>
          <w:tab w:val="clear" w:pos="540"/>
          <w:tab w:val="clear" w:pos="840"/>
          <w:tab w:val="clear" w:pos="8222"/>
          <w:tab w:val="clear" w:pos="8296"/>
        </w:tabs>
      </w:pPr>
      <w:r>
        <w:fldChar w:fldCharType="begin"/>
      </w:r>
      <w:r>
        <w:instrText xml:space="preserve"> HYPERLINK \l _Toc6930 </w:instrText>
      </w:r>
      <w:r>
        <w:fldChar w:fldCharType="separate"/>
      </w:r>
      <w:r>
        <w:rPr>
          <w:rFonts w:hint="eastAsia" w:ascii="微软雅黑" w:hAnsi="微软雅黑" w:eastAsia="微软雅黑"/>
          <w:lang w:val="en-GB"/>
        </w:rPr>
        <w:t xml:space="preserve">5.2 </w:t>
      </w:r>
      <w:r>
        <w:rPr>
          <w:rFonts w:hint="eastAsia"/>
        </w:rPr>
        <w:t>冬季工况</w:t>
      </w:r>
      <w:r>
        <w:tab/>
      </w:r>
      <w:r>
        <w:fldChar w:fldCharType="begin"/>
      </w:r>
      <w:r>
        <w:instrText xml:space="preserve"> PAGEREF _Toc6930 \h </w:instrText>
      </w:r>
      <w:r>
        <w:fldChar w:fldCharType="separate"/>
      </w:r>
      <w:r>
        <w:t>13</w:t>
      </w:r>
      <w:r>
        <w:fldChar w:fldCharType="end"/>
      </w:r>
      <w:r>
        <w:fldChar w:fldCharType="end"/>
      </w:r>
    </w:p>
    <w:p w14:paraId="22C62497">
      <w:pPr>
        <w:pStyle w:val="20"/>
        <w:tabs>
          <w:tab w:val="right" w:leader="dot" w:pos="8306"/>
          <w:tab w:val="clear" w:pos="540"/>
          <w:tab w:val="clear" w:pos="840"/>
          <w:tab w:val="clear" w:pos="8222"/>
          <w:tab w:val="clear" w:pos="8296"/>
        </w:tabs>
      </w:pPr>
      <w:r>
        <w:fldChar w:fldCharType="begin"/>
      </w:r>
      <w:r>
        <w:instrText xml:space="preserve"> HYPERLINK \l _Toc14883 </w:instrText>
      </w:r>
      <w:r>
        <w:fldChar w:fldCharType="separate"/>
      </w:r>
      <w:r>
        <w:rPr>
          <w:rFonts w:hint="eastAsia" w:ascii="微软雅黑" w:hAnsi="微软雅黑" w:eastAsia="微软雅黑"/>
          <w:lang w:val="en-GB"/>
        </w:rPr>
        <w:t xml:space="preserve">5.3 </w:t>
      </w:r>
      <w:r>
        <w:rPr>
          <w:rFonts w:hint="eastAsia"/>
        </w:rPr>
        <w:t>夏季工况</w:t>
      </w:r>
      <w:r>
        <w:tab/>
      </w:r>
      <w:r>
        <w:fldChar w:fldCharType="begin"/>
      </w:r>
      <w:r>
        <w:instrText xml:space="preserve"> PAGEREF _Toc14883 \h </w:instrText>
      </w:r>
      <w:r>
        <w:fldChar w:fldCharType="separate"/>
      </w:r>
      <w:r>
        <w:t>18</w:t>
      </w:r>
      <w:r>
        <w:fldChar w:fldCharType="end"/>
      </w:r>
      <w:r>
        <w:fldChar w:fldCharType="end"/>
      </w:r>
    </w:p>
    <w:p w14:paraId="40649DF6">
      <w:pPr>
        <w:pStyle w:val="19"/>
        <w:tabs>
          <w:tab w:val="right" w:leader="dot" w:pos="8306"/>
          <w:tab w:val="clear" w:pos="180"/>
          <w:tab w:val="clear" w:pos="420"/>
          <w:tab w:val="clear" w:pos="8222"/>
        </w:tabs>
      </w:pPr>
      <w:r>
        <w:fldChar w:fldCharType="begin"/>
      </w:r>
      <w:r>
        <w:instrText xml:space="preserve"> HYPERLINK \l _Toc32579 </w:instrText>
      </w:r>
      <w:r>
        <w:fldChar w:fldCharType="separate"/>
      </w:r>
      <w:r>
        <w:rPr>
          <w:rFonts w:hint="eastAsia" w:ascii="微软雅黑" w:hAnsi="微软雅黑" w:eastAsia="微软雅黑"/>
        </w:rPr>
        <w:t xml:space="preserve">6 </w:t>
      </w:r>
      <w:r>
        <w:rPr>
          <w:rFonts w:hint="eastAsia"/>
        </w:rPr>
        <w:t>结论</w:t>
      </w:r>
      <w:r>
        <w:tab/>
      </w:r>
      <w:r>
        <w:fldChar w:fldCharType="begin"/>
      </w:r>
      <w:r>
        <w:instrText xml:space="preserve"> PAGEREF _Toc32579 \h </w:instrText>
      </w:r>
      <w:r>
        <w:fldChar w:fldCharType="separate"/>
      </w:r>
      <w:r>
        <w:t>22</w:t>
      </w:r>
      <w:r>
        <w:fldChar w:fldCharType="end"/>
      </w:r>
      <w:r>
        <w:fldChar w:fldCharType="end"/>
      </w:r>
    </w:p>
    <w:p w14:paraId="59B69B6F">
      <w:pPr>
        <w:pStyle w:val="20"/>
        <w:tabs>
          <w:tab w:val="right" w:leader="dot" w:pos="8306"/>
          <w:tab w:val="clear" w:pos="540"/>
          <w:tab w:val="clear" w:pos="840"/>
          <w:tab w:val="clear" w:pos="8222"/>
          <w:tab w:val="clear" w:pos="8296"/>
        </w:tabs>
      </w:pPr>
      <w:r>
        <w:fldChar w:fldCharType="begin"/>
      </w:r>
      <w:r>
        <w:instrText xml:space="preserve"> HYPERLINK \l _Toc12377 </w:instrText>
      </w:r>
      <w:r>
        <w:fldChar w:fldCharType="separate"/>
      </w:r>
      <w:r>
        <w:rPr>
          <w:rFonts w:hint="eastAsia" w:ascii="微软雅黑" w:hAnsi="微软雅黑" w:eastAsia="微软雅黑"/>
          <w:lang w:val="en-GB"/>
        </w:rPr>
        <w:t xml:space="preserve">6.1 </w:t>
      </w:r>
      <w:r>
        <w:rPr>
          <w:rFonts w:hint="eastAsia"/>
        </w:rPr>
        <w:t>冬季工况达标判断</w:t>
      </w:r>
      <w:r>
        <w:tab/>
      </w:r>
      <w:r>
        <w:fldChar w:fldCharType="begin"/>
      </w:r>
      <w:r>
        <w:instrText xml:space="preserve"> PAGEREF _Toc12377 \h </w:instrText>
      </w:r>
      <w:r>
        <w:fldChar w:fldCharType="separate"/>
      </w:r>
      <w:r>
        <w:t>22</w:t>
      </w:r>
      <w:r>
        <w:fldChar w:fldCharType="end"/>
      </w:r>
      <w:r>
        <w:fldChar w:fldCharType="end"/>
      </w:r>
    </w:p>
    <w:p w14:paraId="77CF9669">
      <w:pPr>
        <w:pStyle w:val="20"/>
        <w:tabs>
          <w:tab w:val="right" w:leader="dot" w:pos="8306"/>
          <w:tab w:val="clear" w:pos="540"/>
          <w:tab w:val="clear" w:pos="840"/>
          <w:tab w:val="clear" w:pos="8222"/>
          <w:tab w:val="clear" w:pos="8296"/>
        </w:tabs>
      </w:pPr>
      <w:r>
        <w:fldChar w:fldCharType="begin"/>
      </w:r>
      <w:r>
        <w:instrText xml:space="preserve"> HYPERLINK \l _Toc9573 </w:instrText>
      </w:r>
      <w:r>
        <w:fldChar w:fldCharType="separate"/>
      </w:r>
      <w:r>
        <w:rPr>
          <w:rFonts w:hint="eastAsia" w:ascii="微软雅黑" w:hAnsi="微软雅黑" w:eastAsia="微软雅黑"/>
          <w:lang w:val="en-GB"/>
        </w:rPr>
        <w:t xml:space="preserve">6.2 </w:t>
      </w:r>
      <w:r>
        <w:rPr>
          <w:rFonts w:hint="eastAsia"/>
        </w:rPr>
        <w:t>过渡季、夏季工况达标判断</w:t>
      </w:r>
      <w:r>
        <w:tab/>
      </w:r>
      <w:r>
        <w:fldChar w:fldCharType="begin"/>
      </w:r>
      <w:r>
        <w:instrText xml:space="preserve"> PAGEREF _Toc9573 \h </w:instrText>
      </w:r>
      <w:r>
        <w:fldChar w:fldCharType="separate"/>
      </w:r>
      <w:r>
        <w:t>23</w:t>
      </w:r>
      <w:r>
        <w:fldChar w:fldCharType="end"/>
      </w:r>
      <w:r>
        <w:fldChar w:fldCharType="end"/>
      </w:r>
    </w:p>
    <w:p w14:paraId="2DEF0868">
      <w:pPr>
        <w:pStyle w:val="19"/>
        <w:tabs>
          <w:tab w:val="right" w:leader="dot" w:pos="8306"/>
          <w:tab w:val="clear" w:pos="180"/>
          <w:tab w:val="clear" w:pos="420"/>
          <w:tab w:val="clear" w:pos="8222"/>
        </w:tabs>
      </w:pPr>
      <w:r>
        <w:fldChar w:fldCharType="begin"/>
      </w:r>
      <w:r>
        <w:instrText xml:space="preserve"> HYPERLINK \l _Toc20557 </w:instrText>
      </w:r>
      <w:r>
        <w:fldChar w:fldCharType="separate"/>
      </w:r>
      <w:r>
        <w:rPr>
          <w:rFonts w:hint="eastAsia" w:ascii="微软雅黑" w:hAnsi="微软雅黑" w:eastAsia="微软雅黑"/>
        </w:rPr>
        <w:t xml:space="preserve">7 </w:t>
      </w:r>
      <w:r>
        <w:rPr>
          <w:rFonts w:hint="eastAsia"/>
        </w:rPr>
        <w:t>附录</w:t>
      </w:r>
      <w:r>
        <w:tab/>
      </w:r>
      <w:r>
        <w:fldChar w:fldCharType="begin"/>
      </w:r>
      <w:r>
        <w:instrText xml:space="preserve"> PAGEREF _Toc20557 \h </w:instrText>
      </w:r>
      <w:r>
        <w:fldChar w:fldCharType="separate"/>
      </w:r>
      <w:r>
        <w:t>23</w:t>
      </w:r>
      <w:r>
        <w:fldChar w:fldCharType="end"/>
      </w:r>
      <w:r>
        <w:fldChar w:fldCharType="end"/>
      </w:r>
    </w:p>
    <w:p w14:paraId="3DB6522B">
      <w:pPr>
        <w:pStyle w:val="20"/>
        <w:tabs>
          <w:tab w:val="right" w:leader="dot" w:pos="8306"/>
          <w:tab w:val="clear" w:pos="540"/>
          <w:tab w:val="clear" w:pos="840"/>
          <w:tab w:val="clear" w:pos="8222"/>
          <w:tab w:val="clear" w:pos="8296"/>
        </w:tabs>
      </w:pPr>
      <w:r>
        <w:fldChar w:fldCharType="begin"/>
      </w:r>
      <w:r>
        <w:instrText xml:space="preserve"> HYPERLINK \l _Toc2209 </w:instrText>
      </w:r>
      <w:r>
        <w:fldChar w:fldCharType="separate"/>
      </w:r>
      <w:r>
        <w:rPr>
          <w:rFonts w:hint="eastAsia" w:ascii="微软雅黑" w:hAnsi="微软雅黑" w:eastAsia="微软雅黑"/>
          <w:lang w:val="en-GB"/>
        </w:rPr>
        <w:t xml:space="preserve">7.1 </w:t>
      </w:r>
      <w:r>
        <w:rPr>
          <w:rFonts w:hint="eastAsia"/>
        </w:rPr>
        <w:t>参评建筑迎背风面窗平均风压差表</w:t>
      </w:r>
      <w:r>
        <w:tab/>
      </w:r>
      <w:r>
        <w:fldChar w:fldCharType="begin"/>
      </w:r>
      <w:r>
        <w:instrText xml:space="preserve"> PAGEREF _Toc2209 \h </w:instrText>
      </w:r>
      <w:r>
        <w:fldChar w:fldCharType="separate"/>
      </w:r>
      <w:r>
        <w:t>23</w:t>
      </w:r>
      <w:r>
        <w:fldChar w:fldCharType="end"/>
      </w:r>
      <w:r>
        <w:fldChar w:fldCharType="end"/>
      </w:r>
    </w:p>
    <w:p w14:paraId="024B5E8F">
      <w:pPr>
        <w:pStyle w:val="20"/>
        <w:tabs>
          <w:tab w:val="right" w:leader="dot" w:pos="8306"/>
          <w:tab w:val="clear" w:pos="540"/>
          <w:tab w:val="clear" w:pos="840"/>
          <w:tab w:val="clear" w:pos="8222"/>
          <w:tab w:val="clear" w:pos="8296"/>
        </w:tabs>
      </w:pPr>
      <w:r>
        <w:fldChar w:fldCharType="begin"/>
      </w:r>
      <w:r>
        <w:instrText xml:space="preserve"> HYPERLINK \l _Toc28400 </w:instrText>
      </w:r>
      <w:r>
        <w:fldChar w:fldCharType="separate"/>
      </w:r>
      <w:r>
        <w:rPr>
          <w:rFonts w:hint="eastAsia" w:ascii="微软雅黑" w:hAnsi="微软雅黑" w:eastAsia="微软雅黑"/>
          <w:lang w:val="en-GB"/>
        </w:rPr>
        <w:t xml:space="preserve">7.2 </w:t>
      </w:r>
      <w:r>
        <w:rPr>
          <w:rFonts w:hint="eastAsia"/>
        </w:rPr>
        <w:t>不参评建筑迎背风面窗平均风压差表</w:t>
      </w:r>
      <w:r>
        <w:tab/>
      </w:r>
      <w:r>
        <w:fldChar w:fldCharType="begin"/>
      </w:r>
      <w:r>
        <w:instrText xml:space="preserve"> PAGEREF _Toc28400 \h </w:instrText>
      </w:r>
      <w:r>
        <w:fldChar w:fldCharType="separate"/>
      </w:r>
      <w:r>
        <w:t>23</w:t>
      </w:r>
      <w:r>
        <w:fldChar w:fldCharType="end"/>
      </w:r>
      <w:r>
        <w:fldChar w:fldCharType="end"/>
      </w:r>
    </w:p>
    <w:p w14:paraId="2464DD59">
      <w:pPr>
        <w:pStyle w:val="19"/>
        <w:sectPr>
          <w:footerReference r:id="rId5" w:type="first"/>
          <w:headerReference r:id="rId3" w:type="default"/>
          <w:footerReference r:id="rId4" w:type="default"/>
          <w:pgSz w:w="11906" w:h="16838"/>
          <w:pgMar w:top="1440" w:right="1800" w:bottom="709" w:left="1800" w:header="850" w:footer="0" w:gutter="0"/>
          <w:cols w:space="425" w:num="1"/>
          <w:titlePg/>
          <w:docGrid w:type="lines" w:linePitch="312" w:charSpace="0"/>
        </w:sectPr>
      </w:pPr>
      <w:r>
        <w:fldChar w:fldCharType="end"/>
      </w:r>
      <w:bookmarkEnd w:id="11"/>
    </w:p>
    <w:p w14:paraId="21B2DD99">
      <w:pPr>
        <w:pStyle w:val="2"/>
        <w:rPr>
          <w:rFonts w:ascii="微软雅黑" w:hAnsi="微软雅黑"/>
        </w:rPr>
      </w:pPr>
      <w:bookmarkStart w:id="12" w:name="_Toc452108759"/>
      <w:bookmarkStart w:id="13" w:name="_Toc31995"/>
      <w:r>
        <w:rPr>
          <w:rFonts w:hint="eastAsia" w:ascii="微软雅黑" w:hAnsi="微软雅黑"/>
        </w:rPr>
        <w:t>项目概况</w:t>
      </w:r>
      <w:bookmarkEnd w:id="12"/>
      <w:bookmarkEnd w:id="13"/>
    </w:p>
    <w:p w14:paraId="372381EC">
      <w:pPr>
        <w:ind w:firstLine="424" w:firstLineChars="202"/>
        <w:rPr>
          <w:lang w:val="en-US"/>
        </w:rPr>
      </w:pPr>
      <w:bookmarkStart w:id="14" w:name="项目概况"/>
      <w:bookmarkEnd w:id="14"/>
    </w:p>
    <w:p w14:paraId="23DF25D7">
      <w:pPr>
        <w:pStyle w:val="3"/>
        <w:ind w:firstLine="420"/>
        <w:rPr>
          <w:rFonts w:ascii="微软雅黑" w:hAnsi="微软雅黑" w:eastAsia="微软雅黑"/>
          <w:lang w:val="en-US"/>
        </w:rPr>
      </w:pPr>
    </w:p>
    <w:p w14:paraId="24C9BFAE">
      <w:pPr>
        <w:pStyle w:val="4"/>
      </w:pPr>
      <w:bookmarkStart w:id="15" w:name="_Toc452108760"/>
      <w:bookmarkStart w:id="16" w:name="_Toc9259"/>
      <w:r>
        <w:rPr>
          <w:rFonts w:hint="eastAsia"/>
        </w:rPr>
        <w:t>总</w:t>
      </w:r>
      <w:r>
        <w:t>平面图</w:t>
      </w:r>
      <w:bookmarkEnd w:id="15"/>
      <w:bookmarkEnd w:id="16"/>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70D31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2153D626">
            <w:pPr>
              <w:pStyle w:val="3"/>
              <w:spacing w:line="240" w:lineRule="auto"/>
              <w:ind w:firstLine="0" w:firstLineChars="0"/>
              <w:jc w:val="center"/>
              <w:rPr>
                <w:rFonts w:ascii="微软雅黑" w:hAnsi="微软雅黑" w:eastAsia="微软雅黑"/>
                <w:lang w:val="en-US"/>
              </w:rPr>
            </w:pPr>
          </w:p>
        </w:tc>
        <w:tc>
          <w:tcPr>
            <w:tcW w:w="1185" w:type="dxa"/>
            <w:vAlign w:val="center"/>
          </w:tcPr>
          <w:p w14:paraId="0DBBE16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06AEB8B9">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0AD807C9">
            <w:pPr>
              <w:pStyle w:val="3"/>
              <w:spacing w:line="220" w:lineRule="exact"/>
              <w:ind w:firstLine="0" w:firstLineChars="0"/>
              <w:jc w:val="center"/>
              <w:rPr>
                <w:rFonts w:ascii="微软雅黑" w:hAnsi="微软雅黑" w:eastAsia="微软雅黑"/>
                <w:lang w:val="en-US"/>
              </w:rPr>
            </w:pPr>
          </w:p>
        </w:tc>
        <w:tc>
          <w:tcPr>
            <w:tcW w:w="1407" w:type="dxa"/>
            <w:vAlign w:val="center"/>
          </w:tcPr>
          <w:p w14:paraId="11361F49">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71FFCAEF">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59A6D30E">
            <w:pPr>
              <w:pStyle w:val="3"/>
              <w:spacing w:line="240" w:lineRule="auto"/>
              <w:ind w:firstLine="0" w:firstLineChars="0"/>
              <w:jc w:val="center"/>
              <w:rPr>
                <w:rFonts w:ascii="微软雅黑" w:hAnsi="微软雅黑" w:eastAsia="微软雅黑"/>
                <w:lang w:val="en-US"/>
              </w:rPr>
            </w:pPr>
          </w:p>
        </w:tc>
        <w:tc>
          <w:tcPr>
            <w:tcW w:w="1408" w:type="dxa"/>
            <w:vAlign w:val="center"/>
          </w:tcPr>
          <w:p w14:paraId="64AC11B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603960CD">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2882DA7E">
            <w:pPr>
              <w:pStyle w:val="3"/>
              <w:spacing w:line="240" w:lineRule="auto"/>
              <w:ind w:firstLine="0" w:firstLineChars="0"/>
              <w:jc w:val="center"/>
              <w:rPr>
                <w:rFonts w:ascii="微软雅黑" w:hAnsi="微软雅黑" w:eastAsia="微软雅黑"/>
                <w:lang w:val="en-US"/>
              </w:rPr>
            </w:pPr>
          </w:p>
        </w:tc>
        <w:tc>
          <w:tcPr>
            <w:tcW w:w="1266" w:type="dxa"/>
            <w:vAlign w:val="center"/>
          </w:tcPr>
          <w:p w14:paraId="0EE04E87">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375BF67C">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27BB1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6F638AF7">
            <w:pPr>
              <w:pStyle w:val="3"/>
              <w:spacing w:line="240" w:lineRule="auto"/>
              <w:ind w:firstLine="0" w:firstLineChars="0"/>
              <w:jc w:val="center"/>
              <w:rPr>
                <w:rFonts w:ascii="微软雅黑" w:hAnsi="微软雅黑" w:eastAsia="微软雅黑"/>
                <w:lang w:val="en-US"/>
              </w:rPr>
            </w:pPr>
          </w:p>
        </w:tc>
        <w:tc>
          <w:tcPr>
            <w:tcW w:w="1185" w:type="dxa"/>
            <w:vAlign w:val="center"/>
          </w:tcPr>
          <w:p w14:paraId="29B3A06D">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2BDAAB2C">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0B7CAF69">
            <w:pPr>
              <w:pStyle w:val="3"/>
              <w:spacing w:line="220" w:lineRule="exact"/>
              <w:ind w:firstLine="0" w:firstLineChars="0"/>
              <w:jc w:val="center"/>
              <w:rPr>
                <w:rFonts w:ascii="微软雅黑" w:hAnsi="微软雅黑" w:eastAsia="微软雅黑"/>
                <w:lang w:val="en-US"/>
              </w:rPr>
            </w:pPr>
          </w:p>
        </w:tc>
        <w:tc>
          <w:tcPr>
            <w:tcW w:w="1407" w:type="dxa"/>
            <w:vAlign w:val="center"/>
          </w:tcPr>
          <w:p w14:paraId="3ECA2BF5">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35A3D2A0">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33757409">
            <w:pPr>
              <w:pStyle w:val="3"/>
              <w:spacing w:line="240" w:lineRule="auto"/>
              <w:ind w:firstLine="0" w:firstLineChars="0"/>
              <w:jc w:val="center"/>
              <w:rPr>
                <w:rFonts w:ascii="微软雅黑" w:hAnsi="微软雅黑" w:eastAsia="微软雅黑"/>
                <w:lang w:val="en-US"/>
              </w:rPr>
            </w:pPr>
          </w:p>
        </w:tc>
        <w:tc>
          <w:tcPr>
            <w:tcW w:w="1408" w:type="dxa"/>
            <w:vAlign w:val="center"/>
          </w:tcPr>
          <w:p w14:paraId="52324366">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34914829">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66A38D95">
            <w:pPr>
              <w:pStyle w:val="3"/>
              <w:spacing w:line="240" w:lineRule="auto"/>
              <w:ind w:firstLine="0" w:firstLineChars="0"/>
              <w:jc w:val="center"/>
              <w:rPr>
                <w:rFonts w:ascii="微软雅黑" w:hAnsi="微软雅黑" w:eastAsia="微软雅黑"/>
                <w:lang w:val="en-US"/>
              </w:rPr>
            </w:pPr>
          </w:p>
        </w:tc>
        <w:tc>
          <w:tcPr>
            <w:tcW w:w="1266" w:type="dxa"/>
            <w:vAlign w:val="center"/>
          </w:tcPr>
          <w:p w14:paraId="363DD49A">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39E2E809">
      <w:pPr>
        <w:pStyle w:val="3"/>
        <w:ind w:firstLine="0" w:firstLineChars="0"/>
        <w:jc w:val="center"/>
        <w:rPr>
          <w:rFonts w:ascii="微软雅黑" w:hAnsi="微软雅黑" w:eastAsia="微软雅黑"/>
          <w:lang w:val="en-US"/>
        </w:rPr>
      </w:pPr>
    </w:p>
    <w:p w14:paraId="2731E112">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17" w:name="总平面图"/>
      <w:bookmarkEnd w:id="17"/>
      <w:r>
        <w:drawing>
          <wp:inline distT="0" distB="0" distL="0" distR="0">
            <wp:extent cx="5667375" cy="346710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10"/>
                    <a:stretch>
                      <a:fillRect/>
                    </a:stretch>
                  </pic:blipFill>
                  <pic:spPr>
                    <a:xfrm>
                      <a:off x="0" y="0"/>
                      <a:ext cx="5667375" cy="3467100"/>
                    </a:xfrm>
                    <a:prstGeom prst="rect">
                      <a:avLst/>
                    </a:prstGeom>
                  </pic:spPr>
                </pic:pic>
              </a:graphicData>
            </a:graphic>
          </wp:inline>
        </w:drawing>
      </w:r>
    </w:p>
    <w:p w14:paraId="7B49CFEF">
      <w:pPr>
        <w:pStyle w:val="13"/>
        <w:jc w:val="center"/>
        <w:rPr>
          <w:rFonts w:ascii="微软雅黑" w:hAnsi="微软雅黑" w:eastAsia="微软雅黑"/>
          <w:lang w:val="en-US"/>
        </w:rPr>
      </w:pPr>
      <w:r>
        <w:rPr>
          <w:rFonts w:hint="eastAsia" w:ascii="微软雅黑" w:hAnsi="微软雅黑" w:eastAsia="微软雅黑"/>
        </w:rPr>
        <w:t xml:space="preserve">图 </w:t>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STYLEREF 2 \s</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1.1</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SEQ 图 \* ARABIC \s 2</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w:t>
      </w:r>
      <w:r>
        <w:rPr>
          <w:rFonts w:ascii="微软雅黑" w:hAnsi="微软雅黑" w:eastAsia="微软雅黑"/>
        </w:rPr>
        <w:fldChar w:fldCharType="end"/>
      </w:r>
      <w:r>
        <w:rPr>
          <w:rFonts w:hint="eastAsia" w:ascii="微软雅黑" w:hAnsi="微软雅黑" w:eastAsia="微软雅黑"/>
        </w:rPr>
        <w:t xml:space="preserve">  总平面图</w:t>
      </w:r>
    </w:p>
    <w:p w14:paraId="0EDCE3AD">
      <w:pPr>
        <w:pStyle w:val="3"/>
        <w:ind w:firstLine="420"/>
        <w:rPr>
          <w:rFonts w:ascii="微软雅黑" w:hAnsi="微软雅黑" w:eastAsia="微软雅黑"/>
          <w:lang w:val="en-US"/>
        </w:rPr>
      </w:pPr>
    </w:p>
    <w:p w14:paraId="4FD71454">
      <w:pPr>
        <w:pStyle w:val="4"/>
      </w:pPr>
      <w:bookmarkStart w:id="18" w:name="_Toc22019"/>
      <w:bookmarkStart w:id="19" w:name="_Toc452108761"/>
      <w:r>
        <w:rPr>
          <w:rFonts w:hint="eastAsia"/>
        </w:rPr>
        <w:t>三</w:t>
      </w:r>
      <w:r>
        <w:t>维视图</w:t>
      </w:r>
      <w:bookmarkEnd w:id="18"/>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60E48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2ED33DF4">
            <w:pPr>
              <w:pStyle w:val="3"/>
              <w:spacing w:line="240" w:lineRule="auto"/>
              <w:ind w:firstLine="0" w:firstLineChars="0"/>
              <w:jc w:val="center"/>
              <w:rPr>
                <w:rFonts w:ascii="微软雅黑" w:hAnsi="微软雅黑" w:eastAsia="微软雅黑"/>
                <w:lang w:val="en-US"/>
              </w:rPr>
            </w:pPr>
          </w:p>
        </w:tc>
        <w:tc>
          <w:tcPr>
            <w:tcW w:w="1185" w:type="dxa"/>
            <w:vAlign w:val="center"/>
          </w:tcPr>
          <w:p w14:paraId="29DA2F8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1A2F94EA">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24DC3A47">
            <w:pPr>
              <w:pStyle w:val="3"/>
              <w:spacing w:line="220" w:lineRule="exact"/>
              <w:ind w:firstLine="0" w:firstLineChars="0"/>
              <w:jc w:val="center"/>
              <w:rPr>
                <w:rFonts w:ascii="微软雅黑" w:hAnsi="微软雅黑" w:eastAsia="微软雅黑"/>
                <w:lang w:val="en-US"/>
              </w:rPr>
            </w:pPr>
          </w:p>
        </w:tc>
        <w:tc>
          <w:tcPr>
            <w:tcW w:w="1407" w:type="dxa"/>
            <w:vAlign w:val="center"/>
          </w:tcPr>
          <w:p w14:paraId="4AE77452">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74AA50F4">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3AD307AB">
            <w:pPr>
              <w:pStyle w:val="3"/>
              <w:spacing w:line="240" w:lineRule="auto"/>
              <w:ind w:firstLine="0" w:firstLineChars="0"/>
              <w:jc w:val="center"/>
              <w:rPr>
                <w:rFonts w:ascii="微软雅黑" w:hAnsi="微软雅黑" w:eastAsia="微软雅黑"/>
                <w:lang w:val="en-US"/>
              </w:rPr>
            </w:pPr>
          </w:p>
        </w:tc>
        <w:tc>
          <w:tcPr>
            <w:tcW w:w="1408" w:type="dxa"/>
            <w:vAlign w:val="center"/>
          </w:tcPr>
          <w:p w14:paraId="3EEFC17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436B01FB">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155FED49">
            <w:pPr>
              <w:pStyle w:val="3"/>
              <w:spacing w:line="240" w:lineRule="auto"/>
              <w:ind w:firstLine="0" w:firstLineChars="0"/>
              <w:jc w:val="center"/>
              <w:rPr>
                <w:rFonts w:ascii="微软雅黑" w:hAnsi="微软雅黑" w:eastAsia="微软雅黑"/>
                <w:lang w:val="en-US"/>
              </w:rPr>
            </w:pPr>
          </w:p>
        </w:tc>
        <w:tc>
          <w:tcPr>
            <w:tcW w:w="1266" w:type="dxa"/>
            <w:vAlign w:val="center"/>
          </w:tcPr>
          <w:p w14:paraId="4699BF4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5A728FE4">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36C82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56B8D4FA">
            <w:pPr>
              <w:pStyle w:val="3"/>
              <w:spacing w:line="240" w:lineRule="auto"/>
              <w:ind w:firstLine="0" w:firstLineChars="0"/>
              <w:jc w:val="center"/>
              <w:rPr>
                <w:rFonts w:ascii="微软雅黑" w:hAnsi="微软雅黑" w:eastAsia="微软雅黑"/>
                <w:lang w:val="en-US"/>
              </w:rPr>
            </w:pPr>
          </w:p>
        </w:tc>
        <w:tc>
          <w:tcPr>
            <w:tcW w:w="1185" w:type="dxa"/>
            <w:vAlign w:val="center"/>
          </w:tcPr>
          <w:p w14:paraId="2E0D25E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59837DC9">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59322375">
            <w:pPr>
              <w:pStyle w:val="3"/>
              <w:spacing w:line="220" w:lineRule="exact"/>
              <w:ind w:firstLine="0" w:firstLineChars="0"/>
              <w:jc w:val="center"/>
              <w:rPr>
                <w:rFonts w:ascii="微软雅黑" w:hAnsi="微软雅黑" w:eastAsia="微软雅黑"/>
                <w:lang w:val="en-US"/>
              </w:rPr>
            </w:pPr>
          </w:p>
        </w:tc>
        <w:tc>
          <w:tcPr>
            <w:tcW w:w="1407" w:type="dxa"/>
            <w:vAlign w:val="center"/>
          </w:tcPr>
          <w:p w14:paraId="118BE45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55330E73">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71CA21BE">
            <w:pPr>
              <w:pStyle w:val="3"/>
              <w:spacing w:line="240" w:lineRule="auto"/>
              <w:ind w:firstLine="0" w:firstLineChars="0"/>
              <w:jc w:val="center"/>
              <w:rPr>
                <w:rFonts w:ascii="微软雅黑" w:hAnsi="微软雅黑" w:eastAsia="微软雅黑"/>
                <w:lang w:val="en-US"/>
              </w:rPr>
            </w:pPr>
          </w:p>
        </w:tc>
        <w:tc>
          <w:tcPr>
            <w:tcW w:w="1408" w:type="dxa"/>
            <w:vAlign w:val="center"/>
          </w:tcPr>
          <w:p w14:paraId="4BBA1DB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21C2CA6F">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286F57D1">
            <w:pPr>
              <w:pStyle w:val="3"/>
              <w:spacing w:line="240" w:lineRule="auto"/>
              <w:ind w:firstLine="0" w:firstLineChars="0"/>
              <w:jc w:val="center"/>
              <w:rPr>
                <w:rFonts w:ascii="微软雅黑" w:hAnsi="微软雅黑" w:eastAsia="微软雅黑"/>
                <w:lang w:val="en-US"/>
              </w:rPr>
            </w:pPr>
          </w:p>
        </w:tc>
        <w:tc>
          <w:tcPr>
            <w:tcW w:w="1266" w:type="dxa"/>
            <w:vAlign w:val="center"/>
          </w:tcPr>
          <w:p w14:paraId="37990A68">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2432B3B6">
      <w:pPr>
        <w:pStyle w:val="3"/>
        <w:ind w:firstLine="0" w:firstLineChars="0"/>
        <w:jc w:val="center"/>
        <w:rPr>
          <w:rFonts w:ascii="微软雅黑" w:hAnsi="微软雅黑" w:eastAsia="微软雅黑"/>
          <w:lang w:val="en-US"/>
        </w:rPr>
      </w:pPr>
    </w:p>
    <w:p w14:paraId="323D9555">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20" w:name="三维视图"/>
      <w:bookmarkEnd w:id="20"/>
      <w:r>
        <w:drawing>
          <wp:inline distT="0" distB="0" distL="0" distR="0">
            <wp:extent cx="5667375" cy="347662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1"/>
                    <a:stretch>
                      <a:fillRect/>
                    </a:stretch>
                  </pic:blipFill>
                  <pic:spPr>
                    <a:xfrm>
                      <a:off x="0" y="0"/>
                      <a:ext cx="5667375" cy="3476625"/>
                    </a:xfrm>
                    <a:prstGeom prst="rect">
                      <a:avLst/>
                    </a:prstGeom>
                  </pic:spPr>
                </pic:pic>
              </a:graphicData>
            </a:graphic>
          </wp:inline>
        </w:drawing>
      </w:r>
    </w:p>
    <w:p w14:paraId="3D89EFBA">
      <w:pPr>
        <w:pStyle w:val="13"/>
        <w:jc w:val="center"/>
        <w:rPr>
          <w:rFonts w:ascii="微软雅黑" w:hAnsi="微软雅黑" w:eastAsia="微软雅黑"/>
          <w:lang w:val="en-US"/>
        </w:rPr>
      </w:pPr>
      <w:r>
        <w:rPr>
          <w:rFonts w:hint="eastAsia" w:ascii="微软雅黑" w:hAnsi="微软雅黑" w:eastAsia="微软雅黑"/>
        </w:rPr>
        <w:t xml:space="preserve">图 </w:t>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STYLEREF 2 \s</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1.2</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SEQ 图 \* ARABIC \s 2</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w:t>
      </w:r>
      <w:r>
        <w:rPr>
          <w:rFonts w:ascii="微软雅黑" w:hAnsi="微软雅黑" w:eastAsia="微软雅黑"/>
        </w:rPr>
        <w:fldChar w:fldCharType="end"/>
      </w:r>
      <w:r>
        <w:rPr>
          <w:rFonts w:hint="eastAsia" w:ascii="微软雅黑" w:hAnsi="微软雅黑" w:eastAsia="微软雅黑"/>
        </w:rPr>
        <w:t xml:space="preserve">  三</w:t>
      </w:r>
      <w:r>
        <w:rPr>
          <w:rFonts w:ascii="微软雅黑" w:hAnsi="微软雅黑" w:eastAsia="微软雅黑"/>
        </w:rPr>
        <w:t>维</w:t>
      </w:r>
      <w:r>
        <w:rPr>
          <w:rFonts w:hint="eastAsia" w:ascii="微软雅黑" w:hAnsi="微软雅黑" w:eastAsia="微软雅黑"/>
        </w:rPr>
        <w:t>视图</w:t>
      </w:r>
    </w:p>
    <w:p w14:paraId="1D58FA39">
      <w:pPr>
        <w:pStyle w:val="3"/>
        <w:ind w:firstLine="0" w:firstLineChars="0"/>
        <w:rPr>
          <w:rFonts w:ascii="微软雅黑" w:hAnsi="微软雅黑" w:eastAsia="微软雅黑"/>
          <w:lang w:val="en-US"/>
        </w:rPr>
      </w:pPr>
    </w:p>
    <w:p w14:paraId="28E9B7D8">
      <w:pPr>
        <w:pStyle w:val="2"/>
        <w:rPr>
          <w:rFonts w:ascii="微软雅黑" w:hAnsi="微软雅黑"/>
        </w:rPr>
      </w:pPr>
      <w:bookmarkStart w:id="21" w:name="TitleFormat"/>
      <w:bookmarkStart w:id="22" w:name="_Toc452108762"/>
      <w:bookmarkStart w:id="23" w:name="_Toc8497"/>
      <w:r>
        <w:rPr>
          <w:rFonts w:hint="eastAsia" w:ascii="微软雅黑" w:hAnsi="微软雅黑"/>
        </w:rPr>
        <w:t>计算</w:t>
      </w:r>
      <w:r>
        <w:rPr>
          <w:rFonts w:ascii="微软雅黑" w:hAnsi="微软雅黑"/>
        </w:rPr>
        <w:t>依据</w:t>
      </w:r>
      <w:bookmarkEnd w:id="21"/>
      <w:bookmarkEnd w:id="22"/>
      <w:bookmarkEnd w:id="23"/>
    </w:p>
    <w:p w14:paraId="7A07D186">
      <w:pPr>
        <w:pStyle w:val="3"/>
        <w:ind w:firstLine="420"/>
        <w:rPr>
          <w:rFonts w:ascii="微软雅黑" w:hAnsi="微软雅黑" w:eastAsia="微软雅黑"/>
          <w:lang w:val="en-US"/>
        </w:rPr>
      </w:pPr>
      <w:r>
        <w:rPr>
          <w:rFonts w:hint="eastAsia" w:ascii="微软雅黑" w:hAnsi="微软雅黑" w:eastAsia="微软雅黑"/>
          <w:lang w:val="en-US"/>
        </w:rPr>
        <w:t>本项目主要参照资料为：</w:t>
      </w:r>
    </w:p>
    <w:p w14:paraId="7F79DC65">
      <w:pPr>
        <w:pStyle w:val="3"/>
        <w:numPr>
          <w:ilvl w:val="0"/>
          <w:numId w:val="2"/>
        </w:numPr>
        <w:ind w:firstLineChars="0"/>
        <w:rPr>
          <w:rFonts w:ascii="微软雅黑" w:hAnsi="微软雅黑" w:eastAsia="微软雅黑"/>
          <w:lang w:val="en-US"/>
        </w:rPr>
      </w:pPr>
      <w:bookmarkStart w:id="24" w:name="参考标准名称1"/>
      <w:r>
        <w:rPr>
          <w:rFonts w:hint="eastAsia" w:ascii="微软雅黑" w:hAnsi="微软雅黑" w:eastAsia="微软雅黑"/>
          <w:lang w:val="en-US"/>
        </w:rPr>
        <w:t>《绿色建筑评价标准》GB/T 50378-2019（2024年版）</w:t>
      </w:r>
    </w:p>
    <w:p w14:paraId="2715B076">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21DC4F17">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《绿色建筑评价技术细则》</w:t>
      </w:r>
    </w:p>
    <w:p w14:paraId="3E44B021">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10E956CC">
      <w:pPr>
        <w:pStyle w:val="2"/>
        <w:rPr>
          <w:rFonts w:ascii="微软雅黑" w:hAnsi="微软雅黑"/>
        </w:rPr>
      </w:pPr>
      <w:bookmarkStart w:id="25" w:name="_Toc22712"/>
      <w:bookmarkStart w:id="26" w:name="_Toc452108763"/>
      <w:r>
        <w:rPr>
          <w:rFonts w:hint="eastAsia" w:ascii="微软雅黑" w:hAnsi="微软雅黑"/>
        </w:rPr>
        <w:t>参考</w:t>
      </w:r>
      <w:r>
        <w:rPr>
          <w:rFonts w:ascii="微软雅黑" w:hAnsi="微软雅黑"/>
        </w:rPr>
        <w:t>标准</w:t>
      </w:r>
      <w:bookmarkEnd w:id="25"/>
    </w:p>
    <w:p w14:paraId="3B179B83">
      <w:pPr>
        <w:pStyle w:val="3"/>
        <w:ind w:firstLine="420"/>
        <w:rPr>
          <w:rFonts w:ascii="微软雅黑" w:hAnsi="微软雅黑" w:eastAsia="微软雅黑"/>
          <w:lang w:val="en-US"/>
        </w:rPr>
      </w:pPr>
      <w:r>
        <w:rPr>
          <w:rFonts w:hint="eastAsia" w:ascii="微软雅黑" w:hAnsi="微软雅黑" w:eastAsia="微软雅黑"/>
          <w:lang w:val="en-US"/>
        </w:rPr>
        <w:t>室外风环境评价依据为</w:t>
      </w:r>
      <w:bookmarkStart w:id="27" w:name="参考标准名称2"/>
      <w:r>
        <w:rPr>
          <w:rFonts w:hint="eastAsia" w:ascii="微软雅黑" w:hAnsi="微软雅黑" w:eastAsia="微软雅黑"/>
          <w:lang w:val="en-US"/>
        </w:rPr>
        <w:t>《绿色建筑评价标准》GB/T 50378-2019（2024年版）</w:t>
      </w:r>
      <w:bookmarkEnd w:id="27"/>
      <w:r>
        <w:rPr>
          <w:rFonts w:hint="eastAsia" w:ascii="微软雅黑" w:hAnsi="微软雅黑" w:eastAsia="微软雅黑"/>
          <w:lang w:val="en-US"/>
        </w:rPr>
        <w:t>中有关室外风环境的条目要求。具体要求如下：</w:t>
      </w:r>
    </w:p>
    <w:p w14:paraId="6D801E86">
      <w:pPr>
        <w:pStyle w:val="3"/>
        <w:ind w:firstLine="420"/>
        <w:rPr>
          <w:rFonts w:ascii="微软雅黑" w:hAnsi="微软雅黑" w:eastAsia="微软雅黑"/>
          <w:lang w:val="en-US"/>
        </w:rPr>
      </w:pPr>
      <w:bookmarkStart w:id="28" w:name="_Toc451698935"/>
      <w:bookmarkStart w:id="29" w:name="_Toc452108764"/>
      <w:bookmarkStart w:id="30" w:name="_Toc451436145"/>
      <w:r>
        <w:rPr>
          <w:rFonts w:ascii="微软雅黑" w:hAnsi="微软雅黑" w:eastAsia="微软雅黑"/>
          <w:lang w:val="en-US"/>
        </w:rPr>
        <w:t>8</w:t>
      </w:r>
      <w:r>
        <w:rPr>
          <w:rFonts w:hint="eastAsia" w:ascii="微软雅黑" w:hAnsi="微软雅黑" w:eastAsia="微软雅黑"/>
          <w:lang w:val="en-US"/>
        </w:rPr>
        <w:t>.2.</w:t>
      </w:r>
      <w:r>
        <w:rPr>
          <w:rFonts w:ascii="微软雅黑" w:hAnsi="微软雅黑" w:eastAsia="微软雅黑"/>
          <w:lang w:val="en-US"/>
        </w:rPr>
        <w:t>8</w:t>
      </w:r>
      <w:r>
        <w:rPr>
          <w:rFonts w:hint="eastAsia" w:ascii="微软雅黑" w:hAnsi="微软雅黑" w:eastAsia="微软雅黑"/>
          <w:lang w:val="en-US"/>
        </w:rPr>
        <w:t xml:space="preserve"> 场地内风环境有利于室外行走、活动舒适和建筑的自然通风，评价总分值为1</w:t>
      </w:r>
      <w:r>
        <w:rPr>
          <w:rFonts w:ascii="微软雅黑" w:hAnsi="微软雅黑" w:eastAsia="微软雅黑"/>
          <w:lang w:val="en-US"/>
        </w:rPr>
        <w:t>0</w:t>
      </w:r>
      <w:r>
        <w:rPr>
          <w:rFonts w:hint="eastAsia" w:ascii="微软雅黑" w:hAnsi="微软雅黑" w:eastAsia="微软雅黑"/>
          <w:lang w:val="en-US"/>
        </w:rPr>
        <w:t>分，并按下列规则分别评分并累计：</w:t>
      </w:r>
    </w:p>
    <w:p w14:paraId="19898A7A">
      <w:pPr>
        <w:pStyle w:val="3"/>
        <w:ind w:firstLine="420"/>
        <w:rPr>
          <w:rFonts w:ascii="微软雅黑" w:hAnsi="微软雅黑" w:eastAsia="微软雅黑"/>
          <w:lang w:val="en-US"/>
        </w:rPr>
      </w:pPr>
      <w:r>
        <w:rPr>
          <w:rFonts w:hint="eastAsia" w:ascii="微软雅黑" w:hAnsi="微软雅黑" w:eastAsia="微软雅黑"/>
          <w:lang w:val="en-US"/>
        </w:rPr>
        <w:t>1  在冬季典型风速和风向条件下，按下列规则分别评分并累计：</w:t>
      </w:r>
    </w:p>
    <w:p w14:paraId="3E7D77F9">
      <w:pPr>
        <w:pStyle w:val="3"/>
        <w:ind w:firstLine="420"/>
        <w:rPr>
          <w:rFonts w:ascii="微软雅黑" w:hAnsi="微软雅黑" w:eastAsia="微软雅黑"/>
          <w:lang w:val="en-US"/>
        </w:rPr>
      </w:pPr>
      <w:r>
        <w:rPr>
          <w:rFonts w:hint="eastAsia" w:ascii="微软雅黑" w:hAnsi="微软雅黑" w:eastAsia="微软雅黑"/>
          <w:lang w:val="en-US"/>
        </w:rPr>
        <w:t>1）建筑物周围人行区距地</w:t>
      </w:r>
      <w:r>
        <w:rPr>
          <w:rFonts w:ascii="微软雅黑" w:hAnsi="微软雅黑" w:eastAsia="微软雅黑"/>
          <w:lang w:val="en-US"/>
        </w:rPr>
        <w:t>高</w:t>
      </w:r>
      <w:r>
        <w:rPr>
          <w:rFonts w:hint="eastAsia" w:ascii="微软雅黑" w:hAnsi="微软雅黑" w:eastAsia="微软雅黑"/>
          <w:lang w:val="en-US"/>
        </w:rPr>
        <w:t>1.5m处风速小于5m/s，户外休息区、儿童娱乐区风速小于2m/s，且室外风速放大系数小于2，得</w:t>
      </w:r>
      <w:bookmarkStart w:id="31" w:name="参考标准冬季风速得分"/>
      <w:r>
        <w:rPr>
          <w:rFonts w:ascii="微软雅黑" w:hAnsi="微软雅黑" w:eastAsia="微软雅黑"/>
          <w:lang w:val="en-US"/>
        </w:rPr>
        <w:t>3</w:t>
      </w:r>
      <w:bookmarkEnd w:id="31"/>
      <w:r>
        <w:rPr>
          <w:rFonts w:hint="eastAsia" w:ascii="微软雅黑" w:hAnsi="微软雅黑" w:eastAsia="微软雅黑"/>
          <w:lang w:val="en-US"/>
        </w:rPr>
        <w:t>分；</w:t>
      </w:r>
    </w:p>
    <w:p w14:paraId="46604602">
      <w:pPr>
        <w:pStyle w:val="3"/>
        <w:ind w:firstLine="420"/>
        <w:rPr>
          <w:rFonts w:ascii="微软雅黑" w:hAnsi="微软雅黑" w:eastAsia="微软雅黑"/>
          <w:lang w:val="en-US"/>
        </w:rPr>
      </w:pPr>
      <w:r>
        <w:rPr>
          <w:rFonts w:ascii="微软雅黑" w:hAnsi="微软雅黑" w:eastAsia="微软雅黑"/>
          <w:lang w:val="en-US"/>
        </w:rPr>
        <w:t>2</w:t>
      </w:r>
      <w:r>
        <w:rPr>
          <w:rFonts w:hint="eastAsia" w:ascii="微软雅黑" w:hAnsi="微软雅黑" w:eastAsia="微软雅黑"/>
          <w:lang w:val="en-US"/>
        </w:rPr>
        <w:t>）除迎风第一排建筑外，建筑迎风面与背风面表面风压差不大于5Pa，得</w:t>
      </w:r>
      <w:bookmarkStart w:id="32" w:name="参考标准冬季风压得分"/>
      <w:r>
        <w:rPr>
          <w:rFonts w:ascii="微软雅黑" w:hAnsi="微软雅黑" w:eastAsia="微软雅黑"/>
          <w:lang w:val="en-US"/>
        </w:rPr>
        <w:t>2</w:t>
      </w:r>
      <w:bookmarkEnd w:id="32"/>
      <w:r>
        <w:rPr>
          <w:rFonts w:hint="eastAsia" w:ascii="微软雅黑" w:hAnsi="微软雅黑" w:eastAsia="微软雅黑"/>
          <w:lang w:val="en-US"/>
        </w:rPr>
        <w:t>分。</w:t>
      </w:r>
    </w:p>
    <w:p w14:paraId="62195D42">
      <w:pPr>
        <w:pStyle w:val="3"/>
        <w:ind w:firstLine="420"/>
        <w:rPr>
          <w:rFonts w:ascii="微软雅黑" w:hAnsi="微软雅黑" w:eastAsia="微软雅黑"/>
          <w:lang w:val="en-US"/>
        </w:rPr>
      </w:pPr>
      <w:r>
        <w:rPr>
          <w:rFonts w:hint="eastAsia" w:ascii="微软雅黑" w:hAnsi="微软雅黑" w:eastAsia="微软雅黑"/>
          <w:lang w:val="en-US"/>
        </w:rPr>
        <w:t>2  过渡季、夏季典型风速和风向条件下，按下列规则分别评分并累计：</w:t>
      </w:r>
    </w:p>
    <w:p w14:paraId="1FFE4BF8">
      <w:pPr>
        <w:pStyle w:val="3"/>
        <w:ind w:firstLine="420"/>
        <w:rPr>
          <w:rFonts w:ascii="微软雅黑" w:hAnsi="微软雅黑" w:eastAsia="微软雅黑"/>
          <w:lang w:val="en-US"/>
        </w:rPr>
      </w:pPr>
      <w:r>
        <w:rPr>
          <w:rFonts w:ascii="微软雅黑" w:hAnsi="微软雅黑" w:eastAsia="微软雅黑"/>
          <w:lang w:val="en-US"/>
        </w:rPr>
        <w:t>1</w:t>
      </w:r>
      <w:r>
        <w:rPr>
          <w:rFonts w:hint="eastAsia" w:ascii="微软雅黑" w:hAnsi="微软雅黑" w:eastAsia="微软雅黑"/>
          <w:lang w:val="en-US"/>
        </w:rPr>
        <w:t>）场地内人活动区不出现涡旋或无风区，得</w:t>
      </w:r>
      <w:bookmarkStart w:id="33" w:name="参考标准夏季风速得分"/>
      <w:r>
        <w:rPr>
          <w:rFonts w:ascii="微软雅黑" w:hAnsi="微软雅黑" w:eastAsia="微软雅黑"/>
          <w:lang w:val="en-US"/>
        </w:rPr>
        <w:t>3</w:t>
      </w:r>
      <w:bookmarkEnd w:id="33"/>
      <w:r>
        <w:rPr>
          <w:rFonts w:hint="eastAsia" w:ascii="微软雅黑" w:hAnsi="微软雅黑" w:eastAsia="微软雅黑"/>
          <w:lang w:val="en-US"/>
        </w:rPr>
        <w:t>分；</w:t>
      </w:r>
    </w:p>
    <w:p w14:paraId="73CD9CA5">
      <w:pPr>
        <w:pStyle w:val="3"/>
        <w:ind w:firstLine="420"/>
        <w:rPr>
          <w:rFonts w:ascii="微软雅黑" w:hAnsi="微软雅黑" w:eastAsia="微软雅黑"/>
          <w:lang w:val="en-US"/>
        </w:rPr>
      </w:pPr>
      <w:r>
        <w:rPr>
          <w:rFonts w:ascii="微软雅黑" w:hAnsi="微软雅黑" w:eastAsia="微软雅黑"/>
          <w:lang w:val="en-US"/>
        </w:rPr>
        <w:t>2</w:t>
      </w:r>
      <w:r>
        <w:rPr>
          <w:rFonts w:hint="eastAsia" w:ascii="微软雅黑" w:hAnsi="微软雅黑" w:eastAsia="微软雅黑"/>
          <w:lang w:val="en-US"/>
        </w:rPr>
        <w:t>）50%以上可开启外窗室内外表面的风压差大于0.5Pa，得</w:t>
      </w:r>
      <w:bookmarkStart w:id="34" w:name="参考标准夏季风压得分"/>
      <w:r>
        <w:rPr>
          <w:rFonts w:ascii="微软雅黑" w:hAnsi="微软雅黑" w:eastAsia="微软雅黑"/>
          <w:lang w:val="en-US"/>
        </w:rPr>
        <w:t>2</w:t>
      </w:r>
      <w:bookmarkEnd w:id="34"/>
      <w:r>
        <w:rPr>
          <w:rFonts w:hint="eastAsia" w:ascii="微软雅黑" w:hAnsi="微软雅黑" w:eastAsia="微软雅黑"/>
          <w:lang w:val="en-US"/>
        </w:rPr>
        <w:t>分。</w:t>
      </w:r>
    </w:p>
    <w:p w14:paraId="4BCB6725">
      <w:pPr>
        <w:pStyle w:val="2"/>
        <w:rPr>
          <w:rFonts w:ascii="微软雅黑" w:hAnsi="微软雅黑"/>
        </w:rPr>
      </w:pPr>
      <w:bookmarkStart w:id="35" w:name="_Toc30048"/>
      <w:r>
        <w:rPr>
          <w:rFonts w:hint="eastAsia" w:ascii="微软雅黑" w:hAnsi="微软雅黑"/>
        </w:rPr>
        <w:t>计算原理</w:t>
      </w:r>
      <w:bookmarkEnd w:id="28"/>
      <w:bookmarkEnd w:id="29"/>
      <w:bookmarkEnd w:id="35"/>
    </w:p>
    <w:p w14:paraId="7CEB97C9">
      <w:pPr>
        <w:pStyle w:val="4"/>
        <w:numPr>
          <w:ilvl w:val="1"/>
          <w:numId w:val="3"/>
        </w:numPr>
      </w:pPr>
      <w:bookmarkStart w:id="36" w:name="_Toc509844740"/>
      <w:bookmarkStart w:id="37" w:name="_Toc27231"/>
      <w:bookmarkStart w:id="38" w:name="_Toc451698937"/>
      <w:bookmarkStart w:id="39" w:name="_Toc452108765"/>
      <w:r>
        <w:rPr>
          <w:rFonts w:hint="eastAsia"/>
        </w:rPr>
        <w:t>风场计算域</w:t>
      </w:r>
      <w:bookmarkEnd w:id="36"/>
      <w:bookmarkEnd w:id="37"/>
    </w:p>
    <w:p w14:paraId="2999740D">
      <w:pPr>
        <w:pStyle w:val="3"/>
        <w:ind w:firstLine="420"/>
        <w:rPr>
          <w:rFonts w:ascii="微软雅黑" w:hAnsi="微软雅黑" w:eastAsia="微软雅黑"/>
          <w:lang w:val="en-US"/>
        </w:rPr>
      </w:pPr>
      <w:r>
        <w:rPr>
          <w:rFonts w:hint="eastAsia" w:ascii="微软雅黑" w:hAnsi="微软雅黑" w:eastAsia="微软雅黑"/>
          <w:lang w:val="en-US"/>
        </w:rPr>
        <w:t>进行室外风场计算前，需要确定参与计算风场的大小，在流体力学中称为计算域，通常为一个包围建筑群的长方体或正方体，本项目的风场计算域信息如下：</w:t>
      </w:r>
    </w:p>
    <w:p w14:paraId="396CFC7B">
      <w:pPr>
        <w:pStyle w:val="5"/>
        <w:numPr>
          <w:ilvl w:val="2"/>
          <w:numId w:val="4"/>
        </w:numPr>
      </w:pPr>
      <w:bookmarkStart w:id="40" w:name="季节1"/>
      <w:r>
        <w:rPr>
          <w:rFonts w:hint="eastAsia"/>
        </w:rPr>
        <w:t>冬季</w:t>
      </w:r>
      <w:bookmarkEnd w:id="40"/>
      <w:r>
        <w:rPr>
          <w:rFonts w:hint="eastAsia"/>
        </w:rPr>
        <w:t>工况风场计算域</w:t>
      </w:r>
    </w:p>
    <w:p w14:paraId="3A032DA5">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41" w:name="季节2"/>
      <w:r>
        <w:rPr>
          <w:rFonts w:hint="eastAsia" w:ascii="微软雅黑" w:hAnsi="微软雅黑" w:eastAsia="微软雅黑"/>
          <w:sz w:val="18"/>
          <w:szCs w:val="18"/>
        </w:rPr>
        <w:t>冬季</w:t>
      </w:r>
      <w:bookmarkEnd w:id="41"/>
      <w:r>
        <w:rPr>
          <w:rFonts w:hint="eastAsia" w:ascii="微软雅黑" w:hAnsi="微软雅黑" w:eastAsia="微软雅黑"/>
          <w:sz w:val="18"/>
          <w:szCs w:val="18"/>
        </w:rPr>
        <w:t>工况风场计算域信息</w:t>
      </w:r>
    </w:p>
    <w:tbl>
      <w:tblPr>
        <w:tblStyle w:val="21"/>
        <w:tblW w:w="0" w:type="auto"/>
        <w:jc w:val="center"/>
        <w:tblLayout w:type="autofit"/>
        <w:tblCellMar>
          <w:top w:w="0" w:type="dxa"/>
          <w:left w:w="108" w:type="dxa"/>
          <w:bottom w:w="0" w:type="dxa"/>
          <w:right w:w="108" w:type="dxa"/>
        </w:tblCellMar>
      </w:tblPr>
      <w:tblGrid>
        <w:gridCol w:w="2765"/>
        <w:gridCol w:w="2765"/>
        <w:gridCol w:w="2766"/>
      </w:tblGrid>
      <w:tr w14:paraId="331149B8">
        <w:tblPrEx>
          <w:tblCellMar>
            <w:top w:w="0" w:type="dxa"/>
            <w:left w:w="108" w:type="dxa"/>
            <w:bottom w:w="0" w:type="dxa"/>
            <w:right w:w="108" w:type="dxa"/>
          </w:tblCellMar>
        </w:tblPrEx>
        <w:trPr>
          <w:jc w:val="center"/>
        </w:trPr>
        <w:tc>
          <w:tcPr>
            <w:tcW w:w="2765" w:type="dxa"/>
          </w:tcPr>
          <w:p w14:paraId="23F29853">
            <w:pPr>
              <w:jc w:val="center"/>
            </w:pPr>
            <w:r>
              <w:rPr>
                <w:rFonts w:hint="eastAsia"/>
              </w:rPr>
              <w:t>顺风方向尺寸（m）</w:t>
            </w:r>
          </w:p>
        </w:tc>
        <w:tc>
          <w:tcPr>
            <w:tcW w:w="2765" w:type="dxa"/>
          </w:tcPr>
          <w:p w14:paraId="20FF8F9C">
            <w:pPr>
              <w:jc w:val="center"/>
            </w:pPr>
            <w:r>
              <w:rPr>
                <w:rFonts w:hint="eastAsia"/>
              </w:rPr>
              <w:t>宽度方向尺寸（m）</w:t>
            </w:r>
          </w:p>
        </w:tc>
        <w:tc>
          <w:tcPr>
            <w:tcW w:w="2766" w:type="dxa"/>
          </w:tcPr>
          <w:p w14:paraId="324C364F">
            <w:pPr>
              <w:jc w:val="center"/>
            </w:pPr>
            <w:r>
              <w:rPr>
                <w:rFonts w:hint="eastAsia"/>
              </w:rPr>
              <w:t>高度方向尺寸（m）</w:t>
            </w:r>
          </w:p>
        </w:tc>
      </w:tr>
      <w:tr w14:paraId="4B92C8AF">
        <w:tblPrEx>
          <w:tblCellMar>
            <w:top w:w="0" w:type="dxa"/>
            <w:left w:w="108" w:type="dxa"/>
            <w:bottom w:w="0" w:type="dxa"/>
            <w:right w:w="108" w:type="dxa"/>
          </w:tblCellMar>
        </w:tblPrEx>
        <w:trPr>
          <w:jc w:val="center"/>
        </w:trPr>
        <w:tc>
          <w:tcPr>
            <w:tcW w:w="2765" w:type="dxa"/>
          </w:tcPr>
          <w:p w14:paraId="6760E97C">
            <w:pPr>
              <w:jc w:val="center"/>
            </w:pPr>
            <w:bookmarkStart w:id="42" w:name="冬季风场X尺寸"/>
            <w:r>
              <w:t>379</w:t>
            </w:r>
            <w:bookmarkEnd w:id="42"/>
          </w:p>
        </w:tc>
        <w:tc>
          <w:tcPr>
            <w:tcW w:w="2765" w:type="dxa"/>
          </w:tcPr>
          <w:p w14:paraId="0A75CE12">
            <w:pPr>
              <w:jc w:val="center"/>
            </w:pPr>
            <w:bookmarkStart w:id="43" w:name="冬季风场Y尺寸"/>
            <w:r>
              <w:t>416</w:t>
            </w:r>
            <w:bookmarkEnd w:id="43"/>
          </w:p>
        </w:tc>
        <w:tc>
          <w:tcPr>
            <w:tcW w:w="2766" w:type="dxa"/>
          </w:tcPr>
          <w:p w14:paraId="58EB8E9D">
            <w:pPr>
              <w:jc w:val="center"/>
            </w:pPr>
            <w:bookmarkStart w:id="44" w:name="冬季风场Z尺寸"/>
            <w:r>
              <w:t>117</w:t>
            </w:r>
            <w:bookmarkEnd w:id="44"/>
          </w:p>
        </w:tc>
      </w:tr>
    </w:tbl>
    <w:p w14:paraId="4E941AFC">
      <w:pPr>
        <w:pStyle w:val="3"/>
        <w:ind w:firstLine="0" w:firstLineChars="0"/>
        <w:jc w:val="center"/>
        <w:rPr>
          <w:rFonts w:ascii="微软雅黑" w:hAnsi="微软雅黑" w:eastAsia="微软雅黑"/>
          <w:lang w:val="en-US"/>
        </w:rPr>
      </w:pPr>
      <w:bookmarkStart w:id="45" w:name="冬季工况风场计算域图示"/>
      <w:bookmarkEnd w:id="45"/>
      <w:r>
        <w:drawing>
          <wp:inline distT="0" distB="0" distL="0" distR="0">
            <wp:extent cx="5667375" cy="330517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2"/>
                    <a:stretch>
                      <a:fillRect/>
                    </a:stretch>
                  </pic:blipFill>
                  <pic:spPr>
                    <a:xfrm>
                      <a:off x="0" y="0"/>
                      <a:ext cx="5667375" cy="3305175"/>
                    </a:xfrm>
                    <a:prstGeom prst="rect">
                      <a:avLst/>
                    </a:prstGeom>
                  </pic:spPr>
                </pic:pic>
              </a:graphicData>
            </a:graphic>
          </wp:inline>
        </w:drawing>
      </w:r>
    </w:p>
    <w:p w14:paraId="6466D918">
      <w:pPr>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46" w:name="季节3"/>
      <w:r>
        <w:rPr>
          <w:rFonts w:hint="eastAsia" w:ascii="微软雅黑" w:hAnsi="微软雅黑" w:eastAsia="微软雅黑"/>
          <w:sz w:val="18"/>
          <w:szCs w:val="18"/>
        </w:rPr>
        <w:t>冬季</w:t>
      </w:r>
      <w:bookmarkEnd w:id="46"/>
      <w:r>
        <w:rPr>
          <w:rFonts w:hint="eastAsia" w:ascii="微软雅黑" w:hAnsi="微软雅黑" w:eastAsia="微软雅黑"/>
          <w:sz w:val="18"/>
          <w:szCs w:val="18"/>
        </w:rPr>
        <w:t>工况风场计算域图示</w:t>
      </w:r>
      <w:r>
        <w:rPr>
          <w:rFonts w:hint="eastAsia" w:ascii="微软雅黑" w:hAnsi="微软雅黑" w:eastAsia="微软雅黑"/>
          <w:sz w:val="18"/>
          <w:szCs w:val="18"/>
          <w:lang w:val="en-US"/>
        </w:rPr>
        <w:t xml:space="preserve"> </w:t>
      </w:r>
    </w:p>
    <w:p w14:paraId="5F0250DF">
      <w:pPr>
        <w:pStyle w:val="5"/>
        <w:numPr>
          <w:ilvl w:val="2"/>
          <w:numId w:val="4"/>
        </w:numPr>
      </w:pPr>
      <w:r>
        <w:rPr>
          <w:rFonts w:hint="eastAsia"/>
        </w:rPr>
        <w:t>夏季工况风场计算域</w:t>
      </w:r>
    </w:p>
    <w:p w14:paraId="3FBC3D97">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 xml:space="preserve"> 夏季工况风场计算域信息</w:t>
      </w:r>
    </w:p>
    <w:tbl>
      <w:tblPr>
        <w:tblStyle w:val="21"/>
        <w:tblW w:w="0" w:type="auto"/>
        <w:jc w:val="center"/>
        <w:tblLayout w:type="autofit"/>
        <w:tblCellMar>
          <w:top w:w="0" w:type="dxa"/>
          <w:left w:w="108" w:type="dxa"/>
          <w:bottom w:w="0" w:type="dxa"/>
          <w:right w:w="108" w:type="dxa"/>
        </w:tblCellMar>
      </w:tblPr>
      <w:tblGrid>
        <w:gridCol w:w="2765"/>
        <w:gridCol w:w="2765"/>
        <w:gridCol w:w="2766"/>
      </w:tblGrid>
      <w:tr w14:paraId="32FA5081">
        <w:tblPrEx>
          <w:tblCellMar>
            <w:top w:w="0" w:type="dxa"/>
            <w:left w:w="108" w:type="dxa"/>
            <w:bottom w:w="0" w:type="dxa"/>
            <w:right w:w="108" w:type="dxa"/>
          </w:tblCellMar>
        </w:tblPrEx>
        <w:trPr>
          <w:jc w:val="center"/>
        </w:trPr>
        <w:tc>
          <w:tcPr>
            <w:tcW w:w="2765" w:type="dxa"/>
          </w:tcPr>
          <w:p w14:paraId="444F7A64">
            <w:pPr>
              <w:jc w:val="center"/>
            </w:pPr>
            <w:r>
              <w:rPr>
                <w:rFonts w:hint="eastAsia"/>
              </w:rPr>
              <w:t>顺风方向尺寸（m）</w:t>
            </w:r>
          </w:p>
        </w:tc>
        <w:tc>
          <w:tcPr>
            <w:tcW w:w="2765" w:type="dxa"/>
          </w:tcPr>
          <w:p w14:paraId="5D1D3D62">
            <w:pPr>
              <w:jc w:val="center"/>
            </w:pPr>
            <w:r>
              <w:rPr>
                <w:rFonts w:hint="eastAsia"/>
              </w:rPr>
              <w:t>宽度方向尺寸（m）</w:t>
            </w:r>
          </w:p>
        </w:tc>
        <w:tc>
          <w:tcPr>
            <w:tcW w:w="2766" w:type="dxa"/>
          </w:tcPr>
          <w:p w14:paraId="69B252EB">
            <w:pPr>
              <w:jc w:val="center"/>
            </w:pPr>
            <w:r>
              <w:rPr>
                <w:rFonts w:hint="eastAsia"/>
              </w:rPr>
              <w:t>高度方向尺寸（m）</w:t>
            </w:r>
          </w:p>
        </w:tc>
      </w:tr>
      <w:tr w14:paraId="0336977A">
        <w:tblPrEx>
          <w:tblCellMar>
            <w:top w:w="0" w:type="dxa"/>
            <w:left w:w="108" w:type="dxa"/>
            <w:bottom w:w="0" w:type="dxa"/>
            <w:right w:w="108" w:type="dxa"/>
          </w:tblCellMar>
        </w:tblPrEx>
        <w:trPr>
          <w:jc w:val="center"/>
        </w:trPr>
        <w:tc>
          <w:tcPr>
            <w:tcW w:w="2765" w:type="dxa"/>
          </w:tcPr>
          <w:p w14:paraId="0FAD3C59">
            <w:pPr>
              <w:jc w:val="center"/>
            </w:pPr>
            <w:r>
              <w:t>379</w:t>
            </w:r>
          </w:p>
        </w:tc>
        <w:tc>
          <w:tcPr>
            <w:tcW w:w="2765" w:type="dxa"/>
          </w:tcPr>
          <w:p w14:paraId="438BA88F">
            <w:pPr>
              <w:jc w:val="center"/>
            </w:pPr>
            <w:r>
              <w:t>416</w:t>
            </w:r>
          </w:p>
        </w:tc>
        <w:tc>
          <w:tcPr>
            <w:tcW w:w="2766" w:type="dxa"/>
          </w:tcPr>
          <w:p w14:paraId="3946ED00">
            <w:pPr>
              <w:jc w:val="center"/>
            </w:pPr>
            <w:r>
              <w:t>117</w:t>
            </w:r>
          </w:p>
        </w:tc>
      </w:tr>
    </w:tbl>
    <w:p w14:paraId="4C1BB937">
      <w:pPr>
        <w:pStyle w:val="3"/>
        <w:ind w:firstLine="0" w:firstLineChars="0"/>
        <w:jc w:val="center"/>
        <w:rPr>
          <w:rFonts w:ascii="微软雅黑" w:hAnsi="微软雅黑" w:eastAsia="微软雅黑"/>
          <w:lang w:val="en-US"/>
        </w:rPr>
      </w:pPr>
      <w:r>
        <w:drawing>
          <wp:inline distT="0" distB="0" distL="0" distR="0">
            <wp:extent cx="5667375" cy="330517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2"/>
                    <a:stretch>
                      <a:fillRect/>
                    </a:stretch>
                  </pic:blipFill>
                  <pic:spPr>
                    <a:xfrm>
                      <a:off x="0" y="0"/>
                      <a:ext cx="5667375" cy="3305175"/>
                    </a:xfrm>
                    <a:prstGeom prst="rect">
                      <a:avLst/>
                    </a:prstGeom>
                  </pic:spPr>
                </pic:pic>
              </a:graphicData>
            </a:graphic>
          </wp:inline>
        </w:drawing>
      </w:r>
    </w:p>
    <w:p w14:paraId="5FEDBB0E">
      <w:pPr>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 xml:space="preserve">  夏季工况风场计算域图示</w:t>
      </w:r>
      <w:r>
        <w:rPr>
          <w:rFonts w:hint="eastAsia" w:ascii="微软雅黑" w:hAnsi="微软雅黑" w:eastAsia="微软雅黑"/>
          <w:sz w:val="18"/>
          <w:szCs w:val="18"/>
          <w:lang w:val="en-US"/>
        </w:rPr>
        <w:t xml:space="preserve"> </w:t>
      </w:r>
    </w:p>
    <w:p w14:paraId="08707757">
      <w:pPr>
        <w:pStyle w:val="3"/>
        <w:ind w:firstLine="315" w:firstLineChars="150"/>
        <w:rPr>
          <w:rFonts w:ascii="微软雅黑" w:hAnsi="微软雅黑" w:eastAsia="微软雅黑"/>
          <w:lang w:val="en-US"/>
        </w:rPr>
      </w:pPr>
      <w:bookmarkStart w:id="47" w:name="计算域"/>
      <w:bookmarkEnd w:id="47"/>
    </w:p>
    <w:p w14:paraId="5C188F89">
      <w:pPr>
        <w:pStyle w:val="3"/>
        <w:ind w:firstLine="360"/>
        <w:rPr>
          <w:rFonts w:ascii="微软雅黑" w:hAnsi="微软雅黑" w:eastAsia="微软雅黑"/>
          <w:sz w:val="18"/>
          <w:szCs w:val="18"/>
          <w:lang w:val="en-US"/>
        </w:rPr>
      </w:pPr>
      <w:r>
        <w:rPr>
          <w:rFonts w:hint="eastAsia" w:ascii="微软雅黑" w:hAnsi="微软雅黑" w:eastAsia="微软雅黑"/>
          <w:sz w:val="18"/>
          <w:szCs w:val="18"/>
          <w:lang w:val="en-US"/>
        </w:rPr>
        <w:t>注：不同季节因风向不同，为了最大限度反映项目周围区域风场特征，根据不同风向划定不同的计算域。</w:t>
      </w:r>
    </w:p>
    <w:p w14:paraId="499566C3">
      <w:pPr>
        <w:pStyle w:val="4"/>
      </w:pPr>
      <w:bookmarkStart w:id="48" w:name="_Toc509844741"/>
      <w:bookmarkStart w:id="49" w:name="_Toc11373"/>
      <w:r>
        <w:rPr>
          <w:rFonts w:hint="eastAsia"/>
        </w:rPr>
        <w:t>网格划分</w:t>
      </w:r>
      <w:bookmarkEnd w:id="48"/>
      <w:bookmarkEnd w:id="49"/>
    </w:p>
    <w:p w14:paraId="6384B11F">
      <w:pPr>
        <w:pStyle w:val="3"/>
        <w:ind w:firstLine="420"/>
        <w:rPr>
          <w:rFonts w:ascii="微软雅黑" w:hAnsi="微软雅黑" w:eastAsia="微软雅黑"/>
          <w:lang w:val="en-US"/>
        </w:rPr>
      </w:pPr>
      <w:r>
        <w:rPr>
          <w:rFonts w:hint="eastAsia" w:ascii="微软雅黑" w:hAnsi="微软雅黑" w:eastAsia="微软雅黑"/>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均需采用不同的网格方案。下面为本项目所采用的加密方案：</w:t>
      </w:r>
    </w:p>
    <w:p w14:paraId="2EF8D210">
      <w:pPr>
        <w:pStyle w:val="12"/>
        <w:spacing w:before="156"/>
        <w:ind w:left="426" w:firstLine="0"/>
        <w:rPr>
          <w:rFonts w:ascii="微软雅黑"/>
        </w:rPr>
      </w:pPr>
      <w:r>
        <w:rPr>
          <w:rFonts w:hint="eastAsia" w:ascii="微软雅黑"/>
        </w:rPr>
        <w:t>1）一般网格：指除靠近地面和建筑以外的网格，通常不需要特别加密处理</w:t>
      </w:r>
    </w:p>
    <w:p w14:paraId="4E3FDAAB">
      <w:pPr>
        <w:pStyle w:val="12"/>
        <w:numPr>
          <w:ilvl w:val="0"/>
          <w:numId w:val="4"/>
        </w:numPr>
        <w:spacing w:before="156"/>
        <w:rPr>
          <w:rFonts w:ascii="微软雅黑"/>
        </w:rPr>
      </w:pPr>
      <w:bookmarkStart w:id="50" w:name="OLE_LINK15"/>
      <w:r>
        <w:rPr>
          <w:rFonts w:hint="eastAsia" w:ascii="微软雅黑"/>
        </w:rPr>
        <w:t>分弧精度：对于有圆弧特征的建筑局部，把圆弧分解为线段时，弦到弧的最大距离；</w:t>
      </w:r>
    </w:p>
    <w:bookmarkEnd w:id="50"/>
    <w:p w14:paraId="1343F324">
      <w:pPr>
        <w:numPr>
          <w:ilvl w:val="0"/>
          <w:numId w:val="4"/>
        </w:numPr>
        <w:adjustRightInd w:val="0"/>
        <w:spacing w:before="156" w:beforeLines="50" w:line="315" w:lineRule="atLeast"/>
        <w:jc w:val="both"/>
        <w:textAlignment w:val="baseline"/>
        <w:rPr>
          <w:lang w:val="en-US"/>
        </w:rPr>
      </w:pPr>
      <w:r>
        <w:rPr>
          <w:rFonts w:hint="eastAsia"/>
          <w:lang w:val="en-US"/>
        </w:rPr>
        <w:t>最大网格尺寸：计算域内最大网格的尺寸；</w:t>
      </w:r>
    </w:p>
    <w:p w14:paraId="2F3BEC45">
      <w:pPr>
        <w:numPr>
          <w:ilvl w:val="0"/>
          <w:numId w:val="4"/>
        </w:numPr>
        <w:adjustRightInd w:val="0"/>
        <w:spacing w:before="156" w:beforeLines="50" w:line="315" w:lineRule="atLeast"/>
        <w:jc w:val="both"/>
        <w:textAlignment w:val="baseline"/>
        <w:rPr>
          <w:lang w:val="en-US"/>
        </w:rPr>
      </w:pPr>
      <w:r>
        <w:rPr>
          <w:rFonts w:hint="eastAsia"/>
          <w:lang w:val="en-US"/>
        </w:rPr>
        <w:t>最小网格尺寸：计算域内最小网格的尺寸；</w:t>
      </w:r>
    </w:p>
    <w:p w14:paraId="5004F01D">
      <w:pPr>
        <w:numPr>
          <w:ilvl w:val="0"/>
          <w:numId w:val="4"/>
        </w:numPr>
        <w:adjustRightInd w:val="0"/>
        <w:spacing w:before="156" w:beforeLines="50" w:line="315" w:lineRule="atLeast"/>
        <w:jc w:val="both"/>
        <w:textAlignment w:val="baseline"/>
        <w:rPr>
          <w:lang w:val="en-US"/>
        </w:rPr>
      </w:pPr>
      <w:r>
        <w:rPr>
          <w:rFonts w:hint="eastAsia"/>
          <w:lang w:val="en-US"/>
        </w:rPr>
        <w:t>建筑表面细分层厚度：靠近建筑的区域要进行细分，这个包围着建筑的区域边界与建筑表面的距离为建筑表面细分层厚度；</w:t>
      </w:r>
    </w:p>
    <w:p w14:paraId="7CC798E5">
      <w:pPr>
        <w:pStyle w:val="12"/>
        <w:spacing w:before="156"/>
        <w:ind w:left="0" w:firstLine="315" w:firstLineChars="150"/>
        <w:rPr>
          <w:rFonts w:ascii="微软雅黑"/>
        </w:rPr>
      </w:pPr>
      <w:r>
        <w:rPr>
          <w:rFonts w:hint="eastAsia" w:ascii="微软雅黑"/>
        </w:rPr>
        <w:t>2）地面网格</w:t>
      </w:r>
    </w:p>
    <w:p w14:paraId="1AB2C7CE">
      <w:pPr>
        <w:pStyle w:val="12"/>
        <w:spacing w:before="156"/>
        <w:ind w:firstLine="315" w:firstLineChars="150"/>
        <w:rPr>
          <w:rFonts w:ascii="微软雅黑"/>
        </w:rPr>
      </w:pPr>
      <w:r>
        <w:rPr>
          <w:rFonts w:hint="eastAsia" w:ascii="微软雅黑"/>
        </w:rPr>
        <w:t>靠近建筑物的区域称为近场，远离建筑物的区域称为远场。</w:t>
      </w:r>
    </w:p>
    <w:p w14:paraId="6E461C15">
      <w:pPr>
        <w:pStyle w:val="12"/>
        <w:spacing w:before="156"/>
        <w:ind w:firstLine="315" w:firstLineChars="150"/>
        <w:rPr>
          <w:rFonts w:ascii="微软雅黑"/>
        </w:rPr>
      </w:pPr>
      <w:r>
        <w:rPr>
          <w:rFonts w:hint="eastAsia" w:ascii="微软雅黑"/>
        </w:rPr>
        <w:t>近场的地面网格需要加密，对应地面细分级数较大；而远场地面对应网格较疏，地面细分级数较小。</w:t>
      </w:r>
    </w:p>
    <w:p w14:paraId="56E1B974">
      <w:pPr>
        <w:pStyle w:val="3"/>
        <w:ind w:firstLine="420"/>
        <w:rPr>
          <w:rFonts w:ascii="微软雅黑" w:hAnsi="微软雅黑" w:eastAsia="微软雅黑"/>
        </w:rPr>
      </w:pPr>
      <w:r>
        <w:rPr>
          <w:rFonts w:hint="eastAsia" w:ascii="微软雅黑" w:hAnsi="微软雅黑" w:eastAsia="微软雅黑"/>
          <w:lang w:val="en-US"/>
        </w:rPr>
        <w:t>以下</w:t>
      </w:r>
      <w:r>
        <w:rPr>
          <w:rFonts w:hint="eastAsia" w:ascii="微软雅黑" w:hAnsi="微软雅黑" w:eastAsia="微软雅黑"/>
        </w:rPr>
        <w:t>为本项目的网格划分信息，上述网格方案对网格的控制分别体现在相应的网格参数中：</w:t>
      </w:r>
    </w:p>
    <w:p w14:paraId="212FF55E">
      <w:pPr>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冬季网格划分信息</w:t>
      </w:r>
    </w:p>
    <w:tbl>
      <w:tblPr>
        <w:tblStyle w:val="21"/>
        <w:tblW w:w="7776" w:type="dxa"/>
        <w:tblInd w:w="279" w:type="dxa"/>
        <w:tblLayout w:type="autofit"/>
        <w:tblCellMar>
          <w:top w:w="0" w:type="dxa"/>
          <w:left w:w="108" w:type="dxa"/>
          <w:bottom w:w="0" w:type="dxa"/>
          <w:right w:w="108" w:type="dxa"/>
        </w:tblCellMar>
      </w:tblPr>
      <w:tblGrid>
        <w:gridCol w:w="1701"/>
        <w:gridCol w:w="1701"/>
        <w:gridCol w:w="2977"/>
        <w:gridCol w:w="1397"/>
      </w:tblGrid>
      <w:tr w14:paraId="4BE15743">
        <w:tblPrEx>
          <w:tblCellMar>
            <w:top w:w="0" w:type="dxa"/>
            <w:left w:w="108" w:type="dxa"/>
            <w:bottom w:w="0" w:type="dxa"/>
            <w:right w:w="108" w:type="dxa"/>
          </w:tblCellMar>
        </w:tblPrEx>
        <w:trPr>
          <w:trHeight w:val="270" w:hRule="atLeast"/>
        </w:trPr>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4AF14F7">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4CB49567">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网格类型</w:t>
            </w:r>
          </w:p>
        </w:tc>
        <w:tc>
          <w:tcPr>
            <w:tcW w:w="4374"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0144546">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网格尺寸</w:t>
            </w:r>
          </w:p>
        </w:tc>
      </w:tr>
      <w:tr w14:paraId="705650C9">
        <w:tblPrEx>
          <w:tblCellMar>
            <w:top w:w="0" w:type="dxa"/>
            <w:left w:w="108" w:type="dxa"/>
            <w:bottom w:w="0" w:type="dxa"/>
            <w:right w:w="108" w:type="dxa"/>
          </w:tblCellMar>
        </w:tblPrEx>
        <w:trPr>
          <w:trHeight w:val="270" w:hRule="atLeast"/>
        </w:trPr>
        <w:tc>
          <w:tcPr>
            <w:tcW w:w="1701" w:type="dxa"/>
            <w:vMerge w:val="restart"/>
            <w:tcBorders>
              <w:top w:val="single" w:color="auto" w:sz="4" w:space="0"/>
              <w:left w:val="single" w:color="auto" w:sz="4" w:space="0"/>
              <w:bottom w:val="single" w:color="auto" w:sz="4" w:space="0"/>
              <w:right w:val="single" w:color="auto" w:sz="4" w:space="0"/>
            </w:tcBorders>
            <w:vAlign w:val="center"/>
          </w:tcPr>
          <w:p w14:paraId="4624C770">
            <w:pPr>
              <w:spacing w:line="400" w:lineRule="exact"/>
              <w:jc w:val="center"/>
              <w:rPr>
                <w:rFonts w:ascii="微软雅黑" w:hAnsi="微软雅黑" w:eastAsia="微软雅黑"/>
                <w:sz w:val="18"/>
                <w:szCs w:val="18"/>
                <w:lang w:val="en-US"/>
              </w:rPr>
            </w:pPr>
            <w:bookmarkStart w:id="51" w:name="冬季网格总数"/>
            <w:r>
              <w:t>279984</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5FE2B1AC">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3FDD6E6">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分弧精度(m</w:t>
            </w:r>
            <w:r>
              <w:rPr>
                <w:rFonts w:ascii="微软雅黑" w:hAnsi="微软雅黑" w:eastAsia="微软雅黑"/>
                <w:sz w:val="18"/>
                <w:szCs w:val="18"/>
                <w:lang w:val="en-US"/>
              </w:rPr>
              <w:t>)</w:t>
            </w:r>
          </w:p>
        </w:tc>
        <w:tc>
          <w:tcPr>
            <w:tcW w:w="1397" w:type="dxa"/>
            <w:tcBorders>
              <w:top w:val="single" w:color="auto" w:sz="4" w:space="0"/>
              <w:left w:val="nil"/>
              <w:bottom w:val="single" w:color="auto" w:sz="4" w:space="0"/>
              <w:right w:val="single" w:color="auto" w:sz="4" w:space="0"/>
            </w:tcBorders>
            <w:shd w:val="clear" w:color="auto" w:fill="auto"/>
            <w:noWrap/>
            <w:vAlign w:val="center"/>
          </w:tcPr>
          <w:p w14:paraId="0984B532">
            <w:pPr>
              <w:spacing w:line="400" w:lineRule="exact"/>
              <w:jc w:val="center"/>
              <w:rPr>
                <w:rFonts w:ascii="微软雅黑" w:hAnsi="微软雅黑" w:eastAsia="微软雅黑"/>
                <w:sz w:val="18"/>
                <w:szCs w:val="18"/>
                <w:lang w:val="en-US"/>
              </w:rPr>
            </w:pPr>
            <w:bookmarkStart w:id="52" w:name="冬季分弧精度"/>
            <w:r>
              <w:t>0.96</w:t>
            </w:r>
            <w:bookmarkEnd w:id="52"/>
          </w:p>
        </w:tc>
      </w:tr>
      <w:tr w14:paraId="37D62BB1">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651B8F49">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5DA59B2">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74BEF89">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最大网格尺寸(m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52405340">
            <w:pPr>
              <w:spacing w:line="400" w:lineRule="exact"/>
              <w:jc w:val="center"/>
              <w:rPr>
                <w:rFonts w:ascii="微软雅黑" w:hAnsi="微软雅黑" w:eastAsia="微软雅黑"/>
                <w:sz w:val="18"/>
                <w:szCs w:val="18"/>
                <w:lang w:val="en-US"/>
              </w:rPr>
            </w:pPr>
            <w:bookmarkStart w:id="53" w:name="最大网格尺寸"/>
            <w:r>
              <w:t>16.0</w:t>
            </w:r>
            <w:bookmarkEnd w:id="53"/>
          </w:p>
        </w:tc>
      </w:tr>
      <w:tr w14:paraId="79909327">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4222D9AF">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754E96B">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870CBB4">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最小网格尺寸(m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67AB3D5A">
            <w:pPr>
              <w:spacing w:line="400" w:lineRule="exact"/>
              <w:jc w:val="center"/>
              <w:rPr>
                <w:rFonts w:ascii="微软雅黑" w:hAnsi="微软雅黑" w:eastAsia="微软雅黑"/>
                <w:sz w:val="18"/>
                <w:szCs w:val="18"/>
                <w:lang w:val="en-US"/>
              </w:rPr>
            </w:pPr>
            <w:bookmarkStart w:id="54" w:name="最小网格尺寸"/>
            <w:r>
              <w:t>4.0</w:t>
            </w:r>
            <w:bookmarkEnd w:id="54"/>
          </w:p>
        </w:tc>
      </w:tr>
      <w:tr w14:paraId="5B649FFD">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5839B1BF">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F252EF3">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445BF55">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建筑表面细分层</w:t>
            </w:r>
            <w:r>
              <w:rPr>
                <w:rFonts w:ascii="微软雅黑" w:hAnsi="微软雅黑" w:eastAsia="微软雅黑"/>
                <w:sz w:val="18"/>
                <w:szCs w:val="18"/>
                <w:lang w:val="en-US"/>
              </w:rPr>
              <w:t>厚度</w:t>
            </w:r>
            <w:r>
              <w:rPr>
                <w:rFonts w:hint="eastAsia" w:ascii="微软雅黑" w:hAnsi="微软雅黑" w:eastAsia="微软雅黑"/>
                <w:sz w:val="18"/>
                <w:szCs w:val="18"/>
                <w:lang w:val="en-US"/>
              </w:rPr>
              <w:t>(m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1D573D34">
            <w:pPr>
              <w:spacing w:line="400" w:lineRule="exact"/>
              <w:jc w:val="center"/>
              <w:rPr>
                <w:rFonts w:ascii="微软雅黑" w:hAnsi="微软雅黑" w:eastAsia="微软雅黑"/>
                <w:sz w:val="18"/>
                <w:szCs w:val="18"/>
                <w:lang w:val="en-US"/>
              </w:rPr>
            </w:pPr>
            <w:bookmarkStart w:id="55" w:name="建筑表面细分层厚度"/>
            <w:r>
              <w:t>16.0</w:t>
            </w:r>
            <w:bookmarkEnd w:id="55"/>
          </w:p>
        </w:tc>
      </w:tr>
      <w:tr w14:paraId="2469753F">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0FA6A545">
            <w:pPr>
              <w:spacing w:line="400" w:lineRule="exact"/>
              <w:jc w:val="center"/>
              <w:rPr>
                <w:rFonts w:ascii="微软雅黑" w:hAnsi="微软雅黑" w:eastAsia="微软雅黑"/>
                <w:sz w:val="18"/>
                <w:szCs w:val="18"/>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38DBAF5A">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D548CE6">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远场网格尺寸(m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547FC2D7">
            <w:pPr>
              <w:spacing w:line="400" w:lineRule="exact"/>
              <w:jc w:val="center"/>
              <w:rPr>
                <w:rFonts w:ascii="微软雅黑" w:hAnsi="微软雅黑" w:eastAsia="微软雅黑"/>
                <w:sz w:val="18"/>
                <w:szCs w:val="18"/>
                <w:lang w:val="en-US"/>
              </w:rPr>
            </w:pPr>
            <w:bookmarkStart w:id="56" w:name="远场网格尺寸"/>
            <w:r>
              <w:t>8.0</w:t>
            </w:r>
            <w:bookmarkEnd w:id="56"/>
          </w:p>
        </w:tc>
      </w:tr>
      <w:tr w14:paraId="285F7EFE">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506FE748">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3D8B47C">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08239A9">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近场网格尺寸(m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0DA1506D">
            <w:pPr>
              <w:spacing w:line="400" w:lineRule="exact"/>
              <w:jc w:val="center"/>
              <w:rPr>
                <w:rFonts w:ascii="微软雅黑" w:hAnsi="微软雅黑" w:eastAsia="微软雅黑"/>
                <w:sz w:val="18"/>
                <w:szCs w:val="18"/>
                <w:lang w:val="en-US"/>
              </w:rPr>
            </w:pPr>
            <w:bookmarkStart w:id="57" w:name="近场网格尺寸"/>
            <w:r>
              <w:t>4.0</w:t>
            </w:r>
            <w:bookmarkEnd w:id="57"/>
          </w:p>
        </w:tc>
      </w:tr>
    </w:tbl>
    <w:p w14:paraId="4D8787E2">
      <w:pPr>
        <w:rPr>
          <w:rFonts w:ascii="微软雅黑" w:hAnsi="微软雅黑" w:eastAsia="微软雅黑"/>
          <w:sz w:val="18"/>
          <w:szCs w:val="18"/>
          <w:lang w:val="en-US"/>
        </w:rPr>
      </w:pPr>
    </w:p>
    <w:p w14:paraId="4F852AC1">
      <w:pPr>
        <w:jc w:val="center"/>
      </w:pPr>
      <w:bookmarkStart w:id="58" w:name="网格图"/>
      <w:bookmarkEnd w:id="58"/>
      <w:r>
        <w:drawing>
          <wp:inline distT="0" distB="0" distL="0" distR="0">
            <wp:extent cx="5667375" cy="339090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13"/>
                    <a:stretch>
                      <a:fillRect/>
                    </a:stretch>
                  </pic:blipFill>
                  <pic:spPr>
                    <a:xfrm>
                      <a:off x="0" y="0"/>
                      <a:ext cx="5667375" cy="3390900"/>
                    </a:xfrm>
                    <a:prstGeom prst="rect">
                      <a:avLst/>
                    </a:prstGeom>
                  </pic:spPr>
                </pic:pic>
              </a:graphicData>
            </a:graphic>
          </wp:inline>
        </w:drawing>
      </w:r>
    </w:p>
    <w:p w14:paraId="753F27AC">
      <w:pPr>
        <w:jc w:val="center"/>
        <w:rPr>
          <w:sz w:val="18"/>
          <w:szCs w:val="18"/>
        </w:rPr>
      </w:pP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sz w:val="18"/>
          <w:szCs w:val="18"/>
        </w:rPr>
        <w:t xml:space="preserve"> </w:t>
      </w:r>
      <w:r>
        <w:rPr>
          <w:rFonts w:hint="eastAsia"/>
          <w:sz w:val="18"/>
          <w:szCs w:val="18"/>
        </w:rPr>
        <w:t>网格图-</w:t>
      </w:r>
      <w:bookmarkStart w:id="59" w:name="季节"/>
      <w:r>
        <w:rPr>
          <w:rFonts w:hint="eastAsia"/>
          <w:sz w:val="18"/>
          <w:szCs w:val="18"/>
        </w:rPr>
        <w:t>冬季</w:t>
      </w:r>
      <w:bookmarkEnd w:id="59"/>
    </w:p>
    <w:p w14:paraId="27635AA5">
      <w:pPr>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夏季</w:t>
      </w:r>
      <w:bookmarkEnd w:id="3"/>
      <w:r>
        <w:rPr>
          <w:rFonts w:hint="eastAsia" w:ascii="微软雅黑" w:hAnsi="微软雅黑" w:eastAsia="微软雅黑"/>
          <w:sz w:val="18"/>
          <w:szCs w:val="18"/>
        </w:rPr>
        <w:t>网格划分信息</w:t>
      </w:r>
    </w:p>
    <w:tbl>
      <w:tblPr>
        <w:tblStyle w:val="21"/>
        <w:tblW w:w="7776" w:type="dxa"/>
        <w:tblInd w:w="279" w:type="dxa"/>
        <w:tblLayout w:type="autofit"/>
        <w:tblCellMar>
          <w:top w:w="0" w:type="dxa"/>
          <w:left w:w="108" w:type="dxa"/>
          <w:bottom w:w="0" w:type="dxa"/>
          <w:right w:w="108" w:type="dxa"/>
        </w:tblCellMar>
      </w:tblPr>
      <w:tblGrid>
        <w:gridCol w:w="1701"/>
        <w:gridCol w:w="1701"/>
        <w:gridCol w:w="2977"/>
        <w:gridCol w:w="1397"/>
      </w:tblGrid>
      <w:tr w14:paraId="7706D2E5">
        <w:tblPrEx>
          <w:tblCellMar>
            <w:top w:w="0" w:type="dxa"/>
            <w:left w:w="108" w:type="dxa"/>
            <w:bottom w:w="0" w:type="dxa"/>
            <w:right w:w="108" w:type="dxa"/>
          </w:tblCellMar>
        </w:tblPrEx>
        <w:trPr>
          <w:trHeight w:val="270" w:hRule="atLeast"/>
        </w:trPr>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12C8D87">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0E8613C3">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网格类型</w:t>
            </w:r>
          </w:p>
        </w:tc>
        <w:tc>
          <w:tcPr>
            <w:tcW w:w="4374"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E3AACB8">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网格尺寸</w:t>
            </w:r>
          </w:p>
        </w:tc>
      </w:tr>
      <w:tr w14:paraId="402B1F4D">
        <w:tblPrEx>
          <w:tblCellMar>
            <w:top w:w="0" w:type="dxa"/>
            <w:left w:w="108" w:type="dxa"/>
            <w:bottom w:w="0" w:type="dxa"/>
            <w:right w:w="108" w:type="dxa"/>
          </w:tblCellMar>
        </w:tblPrEx>
        <w:trPr>
          <w:trHeight w:val="270" w:hRule="atLeast"/>
        </w:trPr>
        <w:tc>
          <w:tcPr>
            <w:tcW w:w="1701" w:type="dxa"/>
            <w:vMerge w:val="restart"/>
            <w:tcBorders>
              <w:top w:val="single" w:color="auto" w:sz="4" w:space="0"/>
              <w:left w:val="single" w:color="auto" w:sz="4" w:space="0"/>
              <w:bottom w:val="single" w:color="auto" w:sz="4" w:space="0"/>
              <w:right w:val="single" w:color="auto" w:sz="4" w:space="0"/>
            </w:tcBorders>
            <w:vAlign w:val="center"/>
          </w:tcPr>
          <w:p w14:paraId="2320C1CF">
            <w:pPr>
              <w:spacing w:line="400" w:lineRule="exact"/>
              <w:jc w:val="center"/>
              <w:rPr>
                <w:rFonts w:ascii="微软雅黑" w:hAnsi="微软雅黑" w:eastAsia="微软雅黑"/>
                <w:sz w:val="18"/>
                <w:szCs w:val="18"/>
                <w:lang w:val="en-US"/>
              </w:rPr>
            </w:pPr>
            <w:r>
              <w:t>279984</w:t>
            </w:r>
            <w:bookmarkEnd w:id="4"/>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28FDB1F5">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F9F5058">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分弧精度(m</w:t>
            </w:r>
            <w:r>
              <w:rPr>
                <w:rFonts w:ascii="微软雅黑" w:hAnsi="微软雅黑" w:eastAsia="微软雅黑"/>
                <w:sz w:val="18"/>
                <w:szCs w:val="18"/>
                <w:lang w:val="en-US"/>
              </w:rPr>
              <w:t>)</w:t>
            </w:r>
          </w:p>
        </w:tc>
        <w:tc>
          <w:tcPr>
            <w:tcW w:w="1397" w:type="dxa"/>
            <w:tcBorders>
              <w:top w:val="single" w:color="auto" w:sz="4" w:space="0"/>
              <w:left w:val="nil"/>
              <w:bottom w:val="single" w:color="auto" w:sz="4" w:space="0"/>
              <w:right w:val="single" w:color="auto" w:sz="4" w:space="0"/>
            </w:tcBorders>
            <w:shd w:val="clear" w:color="auto" w:fill="auto"/>
            <w:noWrap/>
            <w:vAlign w:val="center"/>
          </w:tcPr>
          <w:p w14:paraId="0911342E">
            <w:pPr>
              <w:spacing w:line="400" w:lineRule="exact"/>
              <w:jc w:val="center"/>
              <w:rPr>
                <w:rFonts w:ascii="微软雅黑" w:hAnsi="微软雅黑" w:eastAsia="微软雅黑"/>
                <w:sz w:val="18"/>
                <w:szCs w:val="18"/>
                <w:lang w:val="en-US"/>
              </w:rPr>
            </w:pPr>
            <w:r>
              <w:t>0.96</w:t>
            </w:r>
          </w:p>
        </w:tc>
      </w:tr>
      <w:tr w14:paraId="654AB403">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703BFED6">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116EB96">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F360676">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最大网格尺寸(m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6D58F7E0">
            <w:pPr>
              <w:spacing w:line="400" w:lineRule="exact"/>
              <w:jc w:val="center"/>
              <w:rPr>
                <w:rFonts w:ascii="微软雅黑" w:hAnsi="微软雅黑" w:eastAsia="微软雅黑"/>
                <w:sz w:val="18"/>
                <w:szCs w:val="18"/>
                <w:lang w:val="en-US"/>
              </w:rPr>
            </w:pPr>
            <w:r>
              <w:t>16.0</w:t>
            </w:r>
            <w:bookmarkEnd w:id="6"/>
          </w:p>
        </w:tc>
      </w:tr>
      <w:tr w14:paraId="41237666">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5B661009">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B60FE35">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F4E0BBA">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最小网格尺寸(m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6C62C096">
            <w:pPr>
              <w:spacing w:line="400" w:lineRule="exact"/>
              <w:jc w:val="center"/>
              <w:rPr>
                <w:rFonts w:ascii="微软雅黑" w:hAnsi="微软雅黑" w:eastAsia="微软雅黑"/>
                <w:sz w:val="18"/>
                <w:szCs w:val="18"/>
                <w:lang w:val="en-US"/>
              </w:rPr>
            </w:pPr>
            <w:r>
              <w:t>4.0</w:t>
            </w:r>
            <w:bookmarkEnd w:id="7"/>
          </w:p>
        </w:tc>
      </w:tr>
      <w:tr w14:paraId="0A72E2D8">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408AF4D9">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240E300">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7BC93C6">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建筑表面细分层</w:t>
            </w:r>
            <w:r>
              <w:rPr>
                <w:rFonts w:ascii="微软雅黑" w:hAnsi="微软雅黑" w:eastAsia="微软雅黑"/>
                <w:sz w:val="18"/>
                <w:szCs w:val="18"/>
                <w:lang w:val="en-US"/>
              </w:rPr>
              <w:t>厚度</w:t>
            </w:r>
            <w:r>
              <w:rPr>
                <w:rFonts w:hint="eastAsia" w:ascii="微软雅黑" w:hAnsi="微软雅黑" w:eastAsia="微软雅黑"/>
                <w:sz w:val="18"/>
                <w:szCs w:val="18"/>
                <w:lang w:val="en-US"/>
              </w:rPr>
              <w:t>(m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5C8B90F6">
            <w:pPr>
              <w:spacing w:line="400" w:lineRule="exact"/>
              <w:jc w:val="center"/>
              <w:rPr>
                <w:rFonts w:ascii="微软雅黑" w:hAnsi="微软雅黑" w:eastAsia="微软雅黑"/>
                <w:sz w:val="18"/>
                <w:szCs w:val="18"/>
                <w:lang w:val="en-US"/>
              </w:rPr>
            </w:pPr>
            <w:r>
              <w:t>16.0</w:t>
            </w:r>
            <w:bookmarkEnd w:id="8"/>
          </w:p>
        </w:tc>
      </w:tr>
      <w:tr w14:paraId="06983EBD">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3C117C75">
            <w:pPr>
              <w:spacing w:line="400" w:lineRule="exact"/>
              <w:jc w:val="center"/>
              <w:rPr>
                <w:rFonts w:ascii="微软雅黑" w:hAnsi="微软雅黑" w:eastAsia="微软雅黑"/>
                <w:sz w:val="18"/>
                <w:szCs w:val="18"/>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6A5A1FC5">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5462B53">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远场网格尺寸(m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5F3F40CD">
            <w:pPr>
              <w:spacing w:line="400" w:lineRule="exact"/>
              <w:jc w:val="center"/>
              <w:rPr>
                <w:rFonts w:ascii="微软雅黑" w:hAnsi="微软雅黑" w:eastAsia="微软雅黑"/>
                <w:sz w:val="18"/>
                <w:szCs w:val="18"/>
                <w:lang w:val="en-US"/>
              </w:rPr>
            </w:pPr>
            <w:r>
              <w:t>8.0</w:t>
            </w:r>
            <w:bookmarkEnd w:id="9"/>
          </w:p>
        </w:tc>
      </w:tr>
      <w:tr w14:paraId="01327BCC">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21FC3275">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A917874">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86633F9">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近场网格尺寸(m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726E9BC4">
            <w:pPr>
              <w:spacing w:line="400" w:lineRule="exact"/>
              <w:jc w:val="center"/>
              <w:rPr>
                <w:rFonts w:ascii="微软雅黑" w:hAnsi="微软雅黑" w:eastAsia="微软雅黑"/>
                <w:sz w:val="18"/>
                <w:szCs w:val="18"/>
                <w:lang w:val="en-US"/>
              </w:rPr>
            </w:pPr>
            <w:r>
              <w:t>4.0</w:t>
            </w:r>
            <w:bookmarkEnd w:id="10"/>
          </w:p>
        </w:tc>
      </w:tr>
    </w:tbl>
    <w:p w14:paraId="5A96D731">
      <w:pPr>
        <w:rPr>
          <w:rFonts w:ascii="微软雅黑" w:hAnsi="微软雅黑" w:eastAsia="微软雅黑"/>
          <w:sz w:val="18"/>
          <w:szCs w:val="18"/>
          <w:lang w:val="en-US"/>
        </w:rPr>
      </w:pPr>
    </w:p>
    <w:p w14:paraId="667D8CD7">
      <w:pPr>
        <w:jc w:val="center"/>
      </w:pPr>
      <w:r>
        <w:drawing>
          <wp:inline distT="0" distB="0" distL="0" distR="0">
            <wp:extent cx="5667375" cy="339090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14"/>
                    <a:stretch>
                      <a:fillRect/>
                    </a:stretch>
                  </pic:blipFill>
                  <pic:spPr>
                    <a:xfrm>
                      <a:off x="0" y="0"/>
                      <a:ext cx="5667375" cy="3390900"/>
                    </a:xfrm>
                    <a:prstGeom prst="rect">
                      <a:avLst/>
                    </a:prstGeom>
                  </pic:spPr>
                </pic:pic>
              </a:graphicData>
            </a:graphic>
          </wp:inline>
        </w:drawing>
      </w:r>
    </w:p>
    <w:p w14:paraId="4B7B62C7">
      <w:pPr>
        <w:jc w:val="center"/>
        <w:rPr>
          <w:sz w:val="18"/>
          <w:szCs w:val="18"/>
        </w:rPr>
      </w:pP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2</w:t>
      </w:r>
      <w:r>
        <w:rPr>
          <w:sz w:val="18"/>
          <w:szCs w:val="18"/>
        </w:rPr>
        <w:fldChar w:fldCharType="end"/>
      </w:r>
      <w:r>
        <w:rPr>
          <w:sz w:val="18"/>
          <w:szCs w:val="18"/>
        </w:rPr>
        <w:t xml:space="preserve"> </w:t>
      </w:r>
      <w:r>
        <w:rPr>
          <w:rFonts w:hint="eastAsia"/>
          <w:sz w:val="18"/>
          <w:szCs w:val="18"/>
        </w:rPr>
        <w:t>网格图-夏季</w:t>
      </w:r>
    </w:p>
    <w:p w14:paraId="66B51A7F">
      <w:pPr>
        <w:pStyle w:val="3"/>
        <w:ind w:firstLine="420"/>
        <w:rPr>
          <w:rFonts w:ascii="微软雅黑" w:hAnsi="微软雅黑" w:eastAsia="微软雅黑"/>
          <w:szCs w:val="20"/>
          <w:lang w:val="en-US"/>
        </w:rPr>
      </w:pPr>
      <w:bookmarkStart w:id="60" w:name="网格划分信息"/>
      <w:bookmarkEnd w:id="60"/>
      <w:r>
        <w:rPr>
          <w:rFonts w:hint="eastAsia" w:ascii="微软雅黑" w:hAnsi="微软雅黑" w:eastAsia="微软雅黑"/>
          <w:szCs w:val="20"/>
          <w:lang w:val="en-US"/>
        </w:rPr>
        <w:t>注：前述计算域随风向不同，所以相同的网格方案会产生不同的网格数量。</w:t>
      </w:r>
    </w:p>
    <w:p w14:paraId="5DA7E0BE">
      <w:pPr>
        <w:pStyle w:val="3"/>
        <w:ind w:firstLine="0" w:firstLineChars="0"/>
        <w:rPr>
          <w:rFonts w:ascii="微软雅黑" w:hAnsi="微软雅黑" w:eastAsia="微软雅黑"/>
          <w:szCs w:val="20"/>
          <w:lang w:val="en-US"/>
        </w:rPr>
      </w:pPr>
    </w:p>
    <w:p w14:paraId="514DD222">
      <w:pPr>
        <w:pStyle w:val="4"/>
        <w:numPr>
          <w:ilvl w:val="1"/>
          <w:numId w:val="3"/>
        </w:numPr>
      </w:pPr>
      <w:bookmarkStart w:id="61" w:name="_Toc509844742"/>
      <w:bookmarkStart w:id="62" w:name="_Toc15704"/>
      <w:r>
        <w:rPr>
          <w:rFonts w:hint="eastAsia"/>
        </w:rPr>
        <w:t>边界条件</w:t>
      </w:r>
      <w:bookmarkEnd w:id="61"/>
      <w:bookmarkEnd w:id="62"/>
    </w:p>
    <w:p w14:paraId="405EB69A">
      <w:r>
        <w:rPr>
          <w:lang w:val="en-US"/>
        </w:rPr>
        <w:drawing>
          <wp:inline distT="0" distB="0" distL="0" distR="0">
            <wp:extent cx="5050155" cy="3060065"/>
            <wp:effectExtent l="0" t="0" r="0" b="698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6621" cy="3063821"/>
                    </a:xfrm>
                    <a:prstGeom prst="rect">
                      <a:avLst/>
                    </a:prstGeom>
                    <a:noFill/>
                    <a:ln>
                      <a:noFill/>
                    </a:ln>
                  </pic:spPr>
                </pic:pic>
              </a:graphicData>
            </a:graphic>
          </wp:inline>
        </w:drawing>
      </w:r>
    </w:p>
    <w:p w14:paraId="38BCC60D">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风场边界类型示意图</w:t>
      </w:r>
    </w:p>
    <w:p w14:paraId="2B355319">
      <w:pPr>
        <w:pStyle w:val="3"/>
        <w:ind w:firstLine="420"/>
        <w:rPr>
          <w:rFonts w:ascii="微软雅黑" w:hAnsi="微软雅黑" w:eastAsia="微软雅黑"/>
        </w:rPr>
      </w:pPr>
      <w:r>
        <w:rPr>
          <w:rFonts w:hint="eastAsia" w:ascii="微软雅黑" w:hAnsi="微软雅黑" w:eastAsia="微软雅黑"/>
          <w:lang w:val="en-US"/>
        </w:rPr>
        <w:t>上图展示了计算域中风场边界的类型，本小节将给出不同边界的边界条件。</w:t>
      </w:r>
    </w:p>
    <w:p w14:paraId="01046472">
      <w:pPr>
        <w:pStyle w:val="5"/>
      </w:pPr>
      <w:bookmarkStart w:id="63" w:name="_Toc509844743"/>
      <w:r>
        <w:rPr>
          <w:rFonts w:hint="eastAsia"/>
        </w:rPr>
        <w:t>入口与出口边界条件</w:t>
      </w:r>
      <w:bookmarkEnd w:id="63"/>
    </w:p>
    <w:p w14:paraId="218138EE">
      <w:r>
        <w:rPr>
          <w:rFonts w:hint="eastAsia"/>
        </w:rPr>
        <w:t>1）入口风速梯度</w:t>
      </w:r>
    </w:p>
    <w:p w14:paraId="049B5510">
      <w:pPr>
        <w:pStyle w:val="3"/>
        <w:ind w:firstLine="420"/>
        <w:rPr>
          <w:rFonts w:ascii="微软雅黑" w:hAnsi="微软雅黑" w:eastAsia="微软雅黑"/>
          <w:lang w:val="en-US"/>
        </w:rPr>
      </w:pPr>
      <w:r>
        <w:rPr>
          <w:rFonts w:hint="eastAsia" w:ascii="微软雅黑" w:hAnsi="微软雅黑" w:eastAsia="微软雅黑"/>
          <w:lang w:val="en-US"/>
        </w:rPr>
        <w:t>本项目中，入口边界条件主要包括不同工况下的风速和风向数据，其中入口风速采用下列梯度风：</w:t>
      </w:r>
    </w:p>
    <w:p w14:paraId="608225B8">
      <w:pPr>
        <w:pStyle w:val="3"/>
        <w:ind w:firstLine="420"/>
        <w:jc w:val="right"/>
        <w:rPr>
          <w:rFonts w:ascii="微软雅黑" w:hAnsi="微软雅黑" w:eastAsia="微软雅黑"/>
          <w:lang w:val="en-US"/>
        </w:rPr>
      </w:pPr>
      <w:r>
        <w:rPr>
          <w:rFonts w:ascii="微软雅黑" w:hAnsi="微软雅黑" w:eastAsia="微软雅黑"/>
          <w:position w:val="-32"/>
          <w:lang w:val="en-US"/>
        </w:rPr>
        <w:object>
          <v:shape id="_x0000_i1025" o:spt="75" type="#_x0000_t75" style="height:41.25pt;width:71.25pt;" o:ole="t" filled="f" o:preferrelative="t" stroked="f" coordsize="21600,21600">
            <v:path/>
            <v:fill on="f" focussize="0,0"/>
            <v:stroke on="f" joinstyle="miter"/>
            <v:imagedata r:id="rId17" o:title=""/>
            <o:lock v:ext="edit" aspectratio="t"/>
            <w10:wrap type="none"/>
            <w10:anchorlock/>
          </v:shape>
          <o:OLEObject Type="Embed" ProgID="Equation.3" ShapeID="_x0000_i1025" DrawAspect="Content" ObjectID="_1468075725" r:id="rId16">
            <o:LockedField>false</o:LockedField>
          </o:OLEObject>
        </w:object>
      </w:r>
      <w:r>
        <w:rPr>
          <w:rFonts w:hint="eastAsia" w:ascii="微软雅黑" w:hAnsi="微软雅黑" w:eastAsia="微软雅黑"/>
          <w:lang w:val="en-US"/>
        </w:rPr>
        <w:t xml:space="preserve">                                （</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4.3</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p w14:paraId="1CD1F570">
      <w:pPr>
        <w:pStyle w:val="3"/>
        <w:ind w:firstLine="420"/>
        <w:rPr>
          <w:rFonts w:ascii="微软雅黑" w:hAnsi="微软雅黑" w:eastAsia="微软雅黑"/>
          <w:lang w:val="en-US"/>
        </w:rPr>
      </w:pPr>
      <w:r>
        <w:rPr>
          <w:rFonts w:hint="eastAsia" w:ascii="微软雅黑" w:hAnsi="微软雅黑" w:eastAsia="微软雅黑"/>
          <w:lang w:val="en-US"/>
        </w:rPr>
        <w:t>式中：</w:t>
      </w:r>
    </w:p>
    <w:p w14:paraId="1B06BD3D">
      <w:pPr>
        <w:pStyle w:val="3"/>
        <w:ind w:firstLine="0" w:firstLineChars="0"/>
        <w:rPr>
          <w:rFonts w:ascii="微软雅黑" w:hAnsi="微软雅黑" w:eastAsia="微软雅黑"/>
          <w:lang w:val="en-US"/>
        </w:rPr>
      </w:pPr>
      <w:r>
        <w:rPr>
          <w:rFonts w:ascii="微软雅黑" w:hAnsi="微软雅黑" w:eastAsia="微软雅黑"/>
          <w:i/>
          <w:sz w:val="24"/>
          <w:lang w:val="en-US"/>
        </w:rPr>
        <w:t>v, z</w:t>
      </w:r>
      <w:r>
        <w:rPr>
          <w:rFonts w:hint="eastAsia" w:ascii="微软雅黑" w:hAnsi="微软雅黑" w:eastAsia="微软雅黑"/>
          <w:lang w:val="en-US"/>
        </w:rPr>
        <w:t>——任何一点的平均风速和高度；</w:t>
      </w:r>
    </w:p>
    <w:p w14:paraId="6D7F4DF2">
      <w:pPr>
        <w:pStyle w:val="3"/>
        <w:ind w:firstLine="0" w:firstLineChars="0"/>
        <w:rPr>
          <w:rFonts w:ascii="微软雅黑" w:hAnsi="微软雅黑" w:eastAsia="微软雅黑"/>
          <w:lang w:val="en-US"/>
        </w:rPr>
      </w:pPr>
      <w:r>
        <w:rPr>
          <w:rFonts w:ascii="微软雅黑" w:hAnsi="微软雅黑" w:eastAsia="微软雅黑"/>
          <w:lang w:val="en-US"/>
        </w:rPr>
        <w:object>
          <v:shape id="_x0000_i1026" o:spt="75" type="#_x0000_t75" style="height:18.75pt;width:15pt;" o:ole="t" filled="f" o:preferrelative="t" stroked="f" coordsize="21600,21600">
            <v:path/>
            <v:fill on="f" focussize="0,0"/>
            <v:stroke on="f" joinstyle="miter"/>
            <v:imagedata r:id="rId19" o:title=""/>
            <o:lock v:ext="edit" aspectratio="t"/>
            <w10:wrap type="none"/>
            <w10:anchorlock/>
          </v:shape>
          <o:OLEObject Type="Embed" ProgID="Equation.3" ShapeID="_x0000_i1026" DrawAspect="Content" ObjectID="_1468075726" r:id="rId18">
            <o:LockedField>false</o:LockedField>
          </o:OLEObject>
        </w:object>
      </w:r>
      <w:r>
        <w:rPr>
          <w:rFonts w:hint="eastAsia" w:ascii="微软雅黑" w:hAnsi="微软雅黑" w:eastAsia="微软雅黑"/>
          <w:lang w:val="en-US"/>
        </w:rPr>
        <w:t>、</w:t>
      </w:r>
      <w:r>
        <w:rPr>
          <w:rFonts w:ascii="微软雅黑" w:hAnsi="微软雅黑" w:eastAsia="微软雅黑"/>
          <w:lang w:val="en-US"/>
        </w:rPr>
        <w:t xml:space="preserve"> </w:t>
      </w:r>
      <w:r>
        <w:rPr>
          <w:rFonts w:ascii="微软雅黑" w:hAnsi="微软雅黑" w:eastAsia="微软雅黑"/>
          <w:position w:val="-10"/>
          <w:lang w:val="en-US"/>
        </w:rPr>
        <w:object>
          <v:shape id="_x0000_i1027" o:spt="75" type="#_x0000_t75" style="height:18.75pt;width:13.5pt;" o:ole="t" filled="f" o:preferrelative="t" stroked="f" coordsize="21600,21600">
            <v:path/>
            <v:fill on="f" focussize="0,0"/>
            <v:stroke on="f" joinstyle="miter"/>
            <v:imagedata r:id="rId21" o:title=""/>
            <o:lock v:ext="edit" aspectratio="t"/>
            <w10:wrap type="none"/>
            <w10:anchorlock/>
          </v:shape>
          <o:OLEObject Type="Embed" ProgID="Equation.3" ShapeID="_x0000_i1027" DrawAspect="Content" ObjectID="_1468075727" r:id="rId20">
            <o:LockedField>false</o:LockedField>
          </o:OLEObject>
        </w:object>
      </w:r>
      <w:r>
        <w:rPr>
          <w:rFonts w:hint="eastAsia" w:ascii="微软雅黑" w:hAnsi="微软雅黑" w:eastAsia="微软雅黑"/>
          <w:lang w:val="en-US"/>
        </w:rPr>
        <w:t>——标准高度处的平均风速和标准高度值，《建筑结构荷载规范》</w:t>
      </w:r>
      <w:r>
        <w:rPr>
          <w:rFonts w:ascii="微软雅黑" w:hAnsi="微软雅黑" w:eastAsia="微软雅黑"/>
          <w:lang w:val="en-US"/>
        </w:rPr>
        <w:t>GB50009-2012</w:t>
      </w:r>
      <w:r>
        <w:rPr>
          <w:rFonts w:hint="eastAsia" w:ascii="微软雅黑" w:hAnsi="微软雅黑" w:eastAsia="微软雅黑"/>
          <w:lang w:val="en-US"/>
        </w:rPr>
        <w:t>规定自然风场的标准高度取</w:t>
      </w:r>
      <w:r>
        <w:rPr>
          <w:rFonts w:ascii="微软雅黑" w:hAnsi="微软雅黑" w:eastAsia="微软雅黑"/>
          <w:lang w:val="en-US"/>
        </w:rPr>
        <w:t>10m</w:t>
      </w:r>
      <w:r>
        <w:rPr>
          <w:rFonts w:hint="eastAsia" w:ascii="微软雅黑" w:hAnsi="微软雅黑" w:eastAsia="微软雅黑"/>
          <w:lang w:val="en-US"/>
        </w:rPr>
        <w:t>，此平均风速对应入口风设置的数值；</w:t>
      </w:r>
    </w:p>
    <w:p w14:paraId="48EA79F8">
      <w:pPr>
        <w:pStyle w:val="3"/>
        <w:spacing w:after="156" w:afterLines="50"/>
        <w:ind w:firstLine="0" w:firstLineChars="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64" w:name="地面粗糙度指数2"/>
      <w:r>
        <w:rPr>
          <w:rFonts w:hint="eastAsia" w:ascii="微软雅黑" w:hAnsi="微软雅黑" w:eastAsia="微软雅黑"/>
          <w:lang w:val="en-US"/>
        </w:rPr>
        <w:t>0.28</w:t>
      </w:r>
      <w:bookmarkEnd w:id="64"/>
      <w:r>
        <w:rPr>
          <w:rFonts w:hint="eastAsia" w:ascii="微软雅黑" w:hAnsi="微软雅黑" w:eastAsia="微软雅黑"/>
          <w:lang w:val="en-US"/>
        </w:rPr>
        <w:t>；</w:t>
      </w:r>
    </w:p>
    <w:p w14:paraId="54645BC8">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r>
        <w:rPr>
          <w:rFonts w:hint="eastAsia" w:ascii="微软雅黑" w:hAnsi="微软雅黑" w:eastAsia="微软雅黑"/>
          <w:sz w:val="20"/>
          <w:szCs w:val="20"/>
        </w:rPr>
        <w:t>地面粗糙度指数参考值</w:t>
      </w:r>
    </w:p>
    <w:tbl>
      <w:tblPr>
        <w:tblStyle w:val="21"/>
        <w:tblW w:w="8222" w:type="dxa"/>
        <w:tblInd w:w="108" w:type="dxa"/>
        <w:tblLayout w:type="autofit"/>
        <w:tblCellMar>
          <w:top w:w="0" w:type="dxa"/>
          <w:left w:w="108" w:type="dxa"/>
          <w:bottom w:w="0" w:type="dxa"/>
          <w:right w:w="108" w:type="dxa"/>
        </w:tblCellMar>
      </w:tblPr>
      <w:tblGrid>
        <w:gridCol w:w="2864"/>
        <w:gridCol w:w="2948"/>
        <w:gridCol w:w="2410"/>
      </w:tblGrid>
      <w:tr w14:paraId="71DCA986">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vAlign w:val="center"/>
          </w:tcPr>
          <w:p w14:paraId="15C0B60A">
            <w:pPr>
              <w:jc w:val="center"/>
              <w:rPr>
                <w:rFonts w:cs="宋体"/>
                <w:b/>
                <w:bCs/>
                <w:sz w:val="18"/>
                <w:szCs w:val="18"/>
              </w:rPr>
            </w:pPr>
            <w:r>
              <w:rPr>
                <w:rFonts w:hint="eastAsia" w:cs="宋体"/>
                <w:b/>
                <w:bCs/>
                <w:sz w:val="18"/>
                <w:szCs w:val="18"/>
              </w:rPr>
              <w:t>参考标准</w:t>
            </w:r>
          </w:p>
        </w:tc>
        <w:tc>
          <w:tcPr>
            <w:tcW w:w="2948" w:type="dxa"/>
            <w:tcBorders>
              <w:top w:val="single" w:color="auto" w:sz="4" w:space="0"/>
              <w:left w:val="nil"/>
              <w:bottom w:val="single" w:color="auto" w:sz="4" w:space="0"/>
              <w:right w:val="single" w:color="auto" w:sz="4" w:space="0"/>
            </w:tcBorders>
            <w:vAlign w:val="center"/>
          </w:tcPr>
          <w:p w14:paraId="10F7C607">
            <w:pPr>
              <w:jc w:val="center"/>
              <w:rPr>
                <w:rFonts w:cs="宋体"/>
                <w:b/>
                <w:bCs/>
                <w:sz w:val="18"/>
                <w:szCs w:val="18"/>
              </w:rPr>
            </w:pPr>
            <w:r>
              <w:rPr>
                <w:rFonts w:hint="eastAsia" w:cs="宋体"/>
                <w:b/>
                <w:bCs/>
                <w:sz w:val="18"/>
                <w:szCs w:val="18"/>
              </w:rPr>
              <w:t>地貌类别</w:t>
            </w:r>
          </w:p>
        </w:tc>
        <w:tc>
          <w:tcPr>
            <w:tcW w:w="2410" w:type="dxa"/>
            <w:tcBorders>
              <w:top w:val="single" w:color="auto" w:sz="4" w:space="0"/>
              <w:left w:val="nil"/>
              <w:bottom w:val="single" w:color="auto" w:sz="4" w:space="0"/>
              <w:right w:val="single" w:color="auto" w:sz="4" w:space="0"/>
            </w:tcBorders>
            <w:vAlign w:val="center"/>
          </w:tcPr>
          <w:p w14:paraId="7669AE70">
            <w:pPr>
              <w:jc w:val="center"/>
              <w:rPr>
                <w:rFonts w:cs="宋体"/>
                <w:b/>
                <w:bCs/>
                <w:sz w:val="18"/>
                <w:szCs w:val="18"/>
              </w:rPr>
            </w:pPr>
            <w:r>
              <w:rPr>
                <w:rFonts w:hint="eastAsia" w:cs="宋体"/>
                <w:b/>
                <w:bCs/>
                <w:sz w:val="18"/>
                <w:szCs w:val="18"/>
              </w:rPr>
              <w:t>地面粗糙度指数</w:t>
            </w:r>
          </w:p>
        </w:tc>
      </w:tr>
      <w:tr w14:paraId="6B7408B5">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4BA300E6">
            <w:pPr>
              <w:jc w:val="center"/>
              <w:rPr>
                <w:rFonts w:cs="宋体"/>
                <w:b/>
                <w:sz w:val="18"/>
                <w:szCs w:val="18"/>
              </w:rPr>
            </w:pPr>
            <w:r>
              <w:rPr>
                <w:rFonts w:hint="eastAsia"/>
                <w:sz w:val="18"/>
                <w:szCs w:val="18"/>
              </w:rPr>
              <w:t>《绿色建筑评价技术细则》</w:t>
            </w:r>
          </w:p>
        </w:tc>
        <w:tc>
          <w:tcPr>
            <w:tcW w:w="2948" w:type="dxa"/>
            <w:tcBorders>
              <w:top w:val="single" w:color="auto" w:sz="4" w:space="0"/>
              <w:left w:val="nil"/>
              <w:bottom w:val="single" w:color="auto" w:sz="4" w:space="0"/>
              <w:right w:val="single" w:color="auto" w:sz="4" w:space="0"/>
            </w:tcBorders>
            <w:vAlign w:val="center"/>
          </w:tcPr>
          <w:p w14:paraId="65AA9B12">
            <w:pPr>
              <w:jc w:val="center"/>
              <w:rPr>
                <w:rFonts w:cs="宋体"/>
                <w:sz w:val="18"/>
                <w:szCs w:val="18"/>
              </w:rPr>
            </w:pPr>
            <w:r>
              <w:rPr>
                <w:rFonts w:hint="eastAsia" w:cs="宋体"/>
                <w:sz w:val="18"/>
                <w:szCs w:val="18"/>
              </w:rPr>
              <w:t>空旷平坦地面</w:t>
            </w:r>
          </w:p>
        </w:tc>
        <w:tc>
          <w:tcPr>
            <w:tcW w:w="2410" w:type="dxa"/>
            <w:tcBorders>
              <w:top w:val="single" w:color="auto" w:sz="4" w:space="0"/>
              <w:left w:val="nil"/>
              <w:bottom w:val="single" w:color="auto" w:sz="4" w:space="0"/>
              <w:right w:val="single" w:color="auto" w:sz="4" w:space="0"/>
            </w:tcBorders>
            <w:vAlign w:val="center"/>
          </w:tcPr>
          <w:p w14:paraId="7E1665DF">
            <w:pPr>
              <w:jc w:val="center"/>
              <w:rPr>
                <w:rFonts w:cs="宋体"/>
                <w:sz w:val="18"/>
                <w:szCs w:val="18"/>
              </w:rPr>
            </w:pPr>
            <w:r>
              <w:rPr>
                <w:rFonts w:hint="eastAsia" w:cs="宋体"/>
                <w:sz w:val="18"/>
                <w:szCs w:val="18"/>
              </w:rPr>
              <w:t>0.14</w:t>
            </w:r>
          </w:p>
        </w:tc>
      </w:tr>
      <w:tr w14:paraId="1093406D">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vAlign w:val="center"/>
          </w:tcPr>
          <w:p w14:paraId="256A54DB">
            <w:pPr>
              <w:jc w:val="center"/>
              <w:rPr>
                <w:rFonts w:cs="宋体"/>
                <w:b/>
                <w:sz w:val="18"/>
                <w:szCs w:val="18"/>
              </w:rPr>
            </w:pPr>
          </w:p>
        </w:tc>
        <w:tc>
          <w:tcPr>
            <w:tcW w:w="2948" w:type="dxa"/>
            <w:tcBorders>
              <w:top w:val="single" w:color="auto" w:sz="4" w:space="0"/>
              <w:left w:val="nil"/>
              <w:bottom w:val="single" w:color="auto" w:sz="4" w:space="0"/>
              <w:right w:val="single" w:color="auto" w:sz="4" w:space="0"/>
            </w:tcBorders>
            <w:vAlign w:val="center"/>
          </w:tcPr>
          <w:p w14:paraId="54D3D8EB">
            <w:pPr>
              <w:jc w:val="center"/>
              <w:rPr>
                <w:rFonts w:cs="宋体"/>
                <w:sz w:val="18"/>
                <w:szCs w:val="18"/>
              </w:rPr>
            </w:pPr>
            <w:r>
              <w:rPr>
                <w:rFonts w:hint="eastAsia" w:cs="宋体"/>
                <w:sz w:val="18"/>
                <w:szCs w:val="18"/>
              </w:rPr>
              <w:t>城市郊区</w:t>
            </w:r>
          </w:p>
        </w:tc>
        <w:tc>
          <w:tcPr>
            <w:tcW w:w="2410" w:type="dxa"/>
            <w:tcBorders>
              <w:top w:val="single" w:color="auto" w:sz="4" w:space="0"/>
              <w:left w:val="nil"/>
              <w:bottom w:val="single" w:color="auto" w:sz="4" w:space="0"/>
              <w:right w:val="single" w:color="auto" w:sz="4" w:space="0"/>
            </w:tcBorders>
            <w:vAlign w:val="center"/>
          </w:tcPr>
          <w:p w14:paraId="2C58779A">
            <w:pPr>
              <w:jc w:val="center"/>
              <w:rPr>
                <w:rFonts w:cs="宋体"/>
                <w:sz w:val="18"/>
                <w:szCs w:val="18"/>
              </w:rPr>
            </w:pPr>
            <w:r>
              <w:rPr>
                <w:rFonts w:hint="eastAsia" w:cs="宋体"/>
                <w:sz w:val="18"/>
                <w:szCs w:val="18"/>
              </w:rPr>
              <w:t>0.22</w:t>
            </w:r>
          </w:p>
        </w:tc>
      </w:tr>
      <w:tr w14:paraId="2BA69FB6">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vAlign w:val="center"/>
          </w:tcPr>
          <w:p w14:paraId="243096A6">
            <w:pPr>
              <w:jc w:val="center"/>
              <w:rPr>
                <w:rFonts w:cs="宋体"/>
                <w:b/>
                <w:sz w:val="18"/>
                <w:szCs w:val="18"/>
              </w:rPr>
            </w:pPr>
          </w:p>
        </w:tc>
        <w:tc>
          <w:tcPr>
            <w:tcW w:w="2948" w:type="dxa"/>
            <w:tcBorders>
              <w:top w:val="single" w:color="auto" w:sz="4" w:space="0"/>
              <w:left w:val="nil"/>
              <w:bottom w:val="single" w:color="auto" w:sz="4" w:space="0"/>
              <w:right w:val="single" w:color="auto" w:sz="4" w:space="0"/>
            </w:tcBorders>
            <w:vAlign w:val="center"/>
          </w:tcPr>
          <w:p w14:paraId="1545CE99">
            <w:pPr>
              <w:jc w:val="center"/>
              <w:rPr>
                <w:rFonts w:cs="宋体"/>
                <w:sz w:val="18"/>
                <w:szCs w:val="18"/>
              </w:rPr>
            </w:pPr>
            <w:r>
              <w:rPr>
                <w:rFonts w:hint="eastAsia" w:cs="宋体"/>
                <w:sz w:val="18"/>
                <w:szCs w:val="18"/>
              </w:rPr>
              <w:t>大城市中心</w:t>
            </w:r>
          </w:p>
        </w:tc>
        <w:tc>
          <w:tcPr>
            <w:tcW w:w="2410" w:type="dxa"/>
            <w:tcBorders>
              <w:top w:val="single" w:color="auto" w:sz="4" w:space="0"/>
              <w:left w:val="nil"/>
              <w:bottom w:val="single" w:color="auto" w:sz="4" w:space="0"/>
              <w:right w:val="single" w:color="auto" w:sz="4" w:space="0"/>
            </w:tcBorders>
            <w:vAlign w:val="center"/>
          </w:tcPr>
          <w:p w14:paraId="197CDA56">
            <w:pPr>
              <w:jc w:val="center"/>
              <w:rPr>
                <w:rFonts w:cs="宋体"/>
                <w:sz w:val="18"/>
                <w:szCs w:val="18"/>
              </w:rPr>
            </w:pPr>
            <w:r>
              <w:rPr>
                <w:rFonts w:hint="eastAsia" w:cs="宋体"/>
                <w:sz w:val="18"/>
                <w:szCs w:val="18"/>
              </w:rPr>
              <w:t>0.28</w:t>
            </w:r>
          </w:p>
        </w:tc>
      </w:tr>
    </w:tbl>
    <w:p w14:paraId="676BCE00">
      <w:pPr>
        <w:spacing w:before="156" w:beforeLines="50"/>
        <w:ind w:firstLine="420"/>
        <w:rPr>
          <w:sz w:val="18"/>
          <w:szCs w:val="18"/>
          <w:lang w:val="en-US"/>
        </w:rPr>
      </w:pPr>
      <w:r>
        <w:rPr>
          <w:rFonts w:hint="eastAsia"/>
          <w:sz w:val="18"/>
          <w:szCs w:val="18"/>
          <w:lang w:val="en-US"/>
        </w:rPr>
        <w:t>注：上述地面粗糙度指数参考《绿色建筑评价技术细则》关于4.2.6节条文说明，也可酌情参考《建筑通风效果测试与评价标准》JGJT3099-2013中5.2.1节</w:t>
      </w:r>
    </w:p>
    <w:p w14:paraId="768433D7">
      <w:pPr>
        <w:spacing w:before="156" w:beforeLines="50"/>
      </w:pPr>
      <w:r>
        <w:t>2）出口边界</w:t>
      </w:r>
      <w:r>
        <w:rPr>
          <w:rFonts w:hint="eastAsia"/>
        </w:rPr>
        <w:t>条件</w:t>
      </w:r>
    </w:p>
    <w:p w14:paraId="786D80B9">
      <w:pPr>
        <w:pStyle w:val="3"/>
        <w:ind w:firstLine="420" w:firstLineChars="0"/>
        <w:rPr>
          <w:rFonts w:ascii="微软雅黑" w:hAnsi="微软雅黑" w:eastAsia="微软雅黑"/>
          <w:lang w:val="en-US"/>
        </w:rPr>
      </w:pPr>
      <w:r>
        <w:rPr>
          <w:rFonts w:hint="eastAsia" w:ascii="微软雅黑" w:hAnsi="微软雅黑" w:eastAsia="微软雅黑"/>
          <w:lang w:val="en-US"/>
        </w:rPr>
        <w:t>本项目采用自由出流作为出口边界条件。</w:t>
      </w:r>
    </w:p>
    <w:p w14:paraId="16C4B314">
      <w:pPr>
        <w:pStyle w:val="5"/>
      </w:pPr>
      <w:bookmarkStart w:id="65" w:name="_Toc509844744"/>
      <w:r>
        <w:rPr>
          <w:rFonts w:hint="eastAsia"/>
        </w:rPr>
        <w:t>壁面边界条件</w:t>
      </w:r>
      <w:bookmarkEnd w:id="65"/>
    </w:p>
    <w:p w14:paraId="716C0624">
      <w:pPr>
        <w:pStyle w:val="3"/>
        <w:ind w:firstLine="420" w:firstLineChars="0"/>
        <w:rPr>
          <w:rFonts w:ascii="微软雅黑" w:hAnsi="微软雅黑" w:eastAsia="微软雅黑"/>
          <w:sz w:val="20"/>
          <w:szCs w:val="20"/>
        </w:rPr>
      </w:pPr>
      <w:r>
        <w:rPr>
          <w:rFonts w:hint="eastAsia" w:ascii="微软雅黑" w:hAnsi="微软雅黑" w:eastAsia="微软雅黑"/>
          <w:lang w:val="en-US"/>
        </w:rPr>
        <w:t>风场的两个</w:t>
      </w:r>
      <w:r>
        <w:rPr>
          <w:rFonts w:hint="eastAsia" w:ascii="微软雅黑" w:hAnsi="微软雅黑" w:eastAsia="微软雅黑"/>
          <w:b/>
          <w:lang w:val="en-US"/>
        </w:rPr>
        <w:t>侧</w:t>
      </w:r>
      <w:r>
        <w:rPr>
          <w:rFonts w:hint="eastAsia" w:ascii="微软雅黑" w:hAnsi="微软雅黑" w:eastAsia="微软雅黑"/>
          <w:lang w:val="en-US"/>
        </w:rPr>
        <w:t>面边界和</w:t>
      </w:r>
      <w:r>
        <w:rPr>
          <w:rFonts w:hint="eastAsia" w:ascii="微软雅黑" w:hAnsi="微软雅黑" w:eastAsia="微软雅黑"/>
          <w:b/>
          <w:lang w:val="en-US"/>
        </w:rPr>
        <w:t>顶</w:t>
      </w:r>
      <w:r>
        <w:rPr>
          <w:rFonts w:hint="eastAsia" w:ascii="微软雅黑" w:hAnsi="微软雅黑" w:eastAsia="微软雅黑"/>
          <w:lang w:val="en-US"/>
        </w:rPr>
        <w:t>边界设定为滑移壁面，即假定空气流动不受壁面摩擦力影响，模拟真实的室外风流动。</w:t>
      </w:r>
    </w:p>
    <w:p w14:paraId="777A2F6D">
      <w:pPr>
        <w:pStyle w:val="3"/>
        <w:ind w:firstLine="420" w:firstLineChars="0"/>
        <w:rPr>
          <w:rFonts w:ascii="微软雅黑" w:hAnsi="微软雅黑" w:eastAsia="微软雅黑"/>
        </w:rPr>
      </w:pPr>
      <w:r>
        <w:rPr>
          <w:rFonts w:hint="eastAsia" w:ascii="微软雅黑" w:hAnsi="微软雅黑" w:eastAsia="微软雅黑"/>
        </w:rPr>
        <w:t>风场的地面边界设定为无滑移壁面，空气流动要受到地面摩擦力的影响。</w:t>
      </w:r>
    </w:p>
    <w:p w14:paraId="192C53AE">
      <w:pPr>
        <w:pStyle w:val="4"/>
        <w:numPr>
          <w:ilvl w:val="1"/>
          <w:numId w:val="3"/>
        </w:numPr>
      </w:pPr>
      <w:bookmarkStart w:id="66" w:name="_Toc5830"/>
      <w:r>
        <w:rPr>
          <w:rFonts w:hint="eastAsia"/>
        </w:rPr>
        <w:t>湍流模型</w:t>
      </w:r>
      <w:bookmarkEnd w:id="38"/>
      <w:bookmarkEnd w:id="39"/>
      <w:bookmarkEnd w:id="66"/>
    </w:p>
    <w:p w14:paraId="500BAE61">
      <w:pPr>
        <w:pStyle w:val="3"/>
        <w:ind w:firstLine="420"/>
        <w:rPr>
          <w:rFonts w:ascii="微软雅黑" w:hAnsi="微软雅黑" w:eastAsia="微软雅黑"/>
        </w:rPr>
      </w:pPr>
      <w:r>
        <w:rPr>
          <w:rFonts w:hint="eastAsia" w:ascii="微软雅黑" w:hAnsi="微软雅黑" w:eastAsia="微软雅黑"/>
        </w:rPr>
        <w:t>湍流</w:t>
      </w:r>
      <w:r>
        <w:rPr>
          <w:rFonts w:hint="eastAsia" w:ascii="微软雅黑" w:hAnsi="微软雅黑" w:eastAsia="微软雅黑"/>
          <w:lang w:val="en-US"/>
        </w:rPr>
        <w:t>模型</w:t>
      </w:r>
      <w:r>
        <w:rPr>
          <w:rFonts w:hint="eastAsia" w:ascii="微软雅黑" w:hAnsi="微软雅黑" w:eastAsia="微软雅黑"/>
        </w:rPr>
        <w:t>反映了流体流动的状态，在流体力学数值模拟中，不同的流体流动应该选择合适的湍流模型才会最大限度模拟出真实的流场数值。</w:t>
      </w:r>
    </w:p>
    <w:p w14:paraId="36BB8C8D">
      <w:pPr>
        <w:pStyle w:val="3"/>
        <w:ind w:firstLine="420"/>
        <w:rPr>
          <w:rFonts w:ascii="微软雅黑" w:hAnsi="微软雅黑" w:eastAsia="微软雅黑"/>
        </w:rPr>
      </w:pPr>
      <w:r>
        <w:rPr>
          <w:rFonts w:hint="eastAsia" w:ascii="微软雅黑" w:hAnsi="微软雅黑" w:eastAsia="微软雅黑"/>
        </w:rPr>
        <w:t>本</w:t>
      </w:r>
      <w:r>
        <w:rPr>
          <w:rFonts w:hint="eastAsia" w:ascii="微软雅黑" w:hAnsi="微软雅黑" w:eastAsia="微软雅黑"/>
          <w:lang w:val="en-US"/>
        </w:rPr>
        <w:t>项目</w:t>
      </w:r>
      <w:r>
        <w:rPr>
          <w:rFonts w:hint="eastAsia" w:ascii="微软雅黑" w:hAnsi="微软雅黑" w:eastAsia="微软雅黑"/>
        </w:rPr>
        <w:t>依据《绿色建筑评价技术细则》推荐的标准k-ε湍流模型进行室外流场计算。</w:t>
      </w:r>
    </w:p>
    <w:p w14:paraId="45CF9C1D">
      <w:pPr>
        <w:pStyle w:val="3"/>
        <w:ind w:firstLine="420"/>
        <w:rPr>
          <w:rFonts w:ascii="微软雅黑" w:hAnsi="微软雅黑" w:eastAsia="微软雅黑"/>
        </w:rPr>
      </w:pPr>
      <w:r>
        <w:rPr>
          <w:rFonts w:hint="eastAsia" w:ascii="微软雅黑" w:hAnsi="微软雅黑" w:eastAsia="微软雅黑"/>
        </w:rPr>
        <w:t>下表为几种工程流体中常见的湍流模型适用性：</w:t>
      </w:r>
    </w:p>
    <w:p w14:paraId="3659071A">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4.4</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常用湍流模型适用范围</w:t>
      </w:r>
    </w:p>
    <w:tbl>
      <w:tblPr>
        <w:tblStyle w:val="21"/>
        <w:tblW w:w="8379" w:type="dxa"/>
        <w:tblInd w:w="93" w:type="dxa"/>
        <w:tblLayout w:type="fixed"/>
        <w:tblCellMar>
          <w:top w:w="0" w:type="dxa"/>
          <w:left w:w="108" w:type="dxa"/>
          <w:bottom w:w="0" w:type="dxa"/>
          <w:right w:w="108" w:type="dxa"/>
        </w:tblCellMar>
      </w:tblPr>
      <w:tblGrid>
        <w:gridCol w:w="2000"/>
        <w:gridCol w:w="6379"/>
      </w:tblGrid>
      <w:tr w14:paraId="5D59DA62">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vAlign w:val="center"/>
          </w:tcPr>
          <w:p w14:paraId="12B25EDB">
            <w:pPr>
              <w:jc w:val="center"/>
              <w:rPr>
                <w:rFonts w:cs="宋体"/>
                <w:b/>
                <w:bCs/>
                <w:sz w:val="18"/>
                <w:szCs w:val="18"/>
              </w:rPr>
            </w:pPr>
            <w:r>
              <w:rPr>
                <w:rFonts w:hint="eastAsia" w:cs="宋体"/>
                <w:b/>
                <w:bCs/>
                <w:sz w:val="18"/>
                <w:szCs w:val="18"/>
              </w:rPr>
              <w:t>常用湍流模型</w:t>
            </w:r>
          </w:p>
        </w:tc>
        <w:tc>
          <w:tcPr>
            <w:tcW w:w="6379" w:type="dxa"/>
            <w:tcBorders>
              <w:top w:val="single" w:color="auto" w:sz="4" w:space="0"/>
              <w:left w:val="nil"/>
              <w:bottom w:val="single" w:color="auto" w:sz="4" w:space="0"/>
              <w:right w:val="single" w:color="auto" w:sz="4" w:space="0"/>
            </w:tcBorders>
            <w:vAlign w:val="center"/>
          </w:tcPr>
          <w:p w14:paraId="5A3F4471">
            <w:pPr>
              <w:jc w:val="center"/>
              <w:rPr>
                <w:rFonts w:cs="宋体"/>
                <w:b/>
                <w:bCs/>
                <w:sz w:val="18"/>
                <w:szCs w:val="18"/>
              </w:rPr>
            </w:pPr>
            <w:r>
              <w:rPr>
                <w:rFonts w:hint="eastAsia" w:cs="宋体"/>
                <w:b/>
                <w:bCs/>
                <w:sz w:val="18"/>
                <w:szCs w:val="18"/>
              </w:rPr>
              <w:t>特点和适用工况</w:t>
            </w:r>
          </w:p>
        </w:tc>
      </w:tr>
      <w:tr w14:paraId="5EF504B3">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20CAC0E4">
            <w:pPr>
              <w:jc w:val="center"/>
              <w:rPr>
                <w:rFonts w:cs="宋体"/>
                <w:sz w:val="18"/>
                <w:szCs w:val="18"/>
              </w:rPr>
            </w:pPr>
            <w:r>
              <w:rPr>
                <w:rFonts w:hint="eastAsia" w:cs="宋体"/>
                <w:sz w:val="18"/>
                <w:szCs w:val="18"/>
              </w:rPr>
              <w:t xml:space="preserve"> standard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3C98A949">
            <w:pPr>
              <w:rPr>
                <w:rFonts w:cs="宋体"/>
                <w:sz w:val="18"/>
                <w:szCs w:val="18"/>
              </w:rPr>
            </w:pPr>
            <w:r>
              <w:rPr>
                <w:rFonts w:hint="eastAsia" w:cs="宋体"/>
                <w:sz w:val="18"/>
                <w:szCs w:val="18"/>
              </w:rPr>
              <w:t>简单的工业流场和热交换模拟，无较大压力梯度、分离、强曲率流，适用于初始的参数研究</w:t>
            </w:r>
          </w:p>
        </w:tc>
      </w:tr>
      <w:tr w14:paraId="1A6B33A1">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19F9A60F">
            <w:pPr>
              <w:jc w:val="center"/>
              <w:rPr>
                <w:rFonts w:cs="宋体"/>
                <w:sz w:val="18"/>
                <w:szCs w:val="18"/>
              </w:rPr>
            </w:pPr>
            <w:r>
              <w:rPr>
                <w:rFonts w:hint="eastAsia" w:cs="宋体"/>
                <w:sz w:val="18"/>
                <w:szCs w:val="18"/>
              </w:rPr>
              <w:t>RNG k-ε</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2B35513D">
            <w:pPr>
              <w:rPr>
                <w:rFonts w:cs="宋体"/>
                <w:sz w:val="18"/>
                <w:szCs w:val="18"/>
              </w:rPr>
            </w:pPr>
            <w:r>
              <w:rPr>
                <w:rFonts w:hint="eastAsia" w:cs="宋体"/>
                <w:sz w:val="18"/>
                <w:szCs w:val="18"/>
              </w:rPr>
              <w:t>适合包括快速应变的复杂剪切流、中等旋涡流动、局部转捩流如边界层分离、钝体尾迹涡、大角度失速、房间通风、室外空气流动</w:t>
            </w:r>
          </w:p>
        </w:tc>
      </w:tr>
      <w:tr w14:paraId="4E94FA94">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53CEC23D">
            <w:pPr>
              <w:jc w:val="center"/>
              <w:rPr>
                <w:rFonts w:cs="宋体"/>
                <w:sz w:val="18"/>
                <w:szCs w:val="18"/>
              </w:rPr>
            </w:pPr>
            <w:r>
              <w:rPr>
                <w:rFonts w:hint="eastAsia" w:cs="宋体"/>
                <w:sz w:val="18"/>
                <w:szCs w:val="18"/>
              </w:rPr>
              <w:t xml:space="preserve">realizable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548D3882">
            <w:pPr>
              <w:rPr>
                <w:rFonts w:cs="宋体"/>
                <w:sz w:val="18"/>
                <w:szCs w:val="18"/>
              </w:rPr>
            </w:pPr>
            <w:r>
              <w:rPr>
                <w:rFonts w:hint="eastAsia" w:cs="宋体"/>
                <w:sz w:val="18"/>
                <w:szCs w:val="18"/>
              </w:rPr>
              <w:t>旋转流动、强逆压梯度的边界层流动、流动分离和二次流，类似于RNG</w:t>
            </w:r>
          </w:p>
        </w:tc>
      </w:tr>
    </w:tbl>
    <w:p w14:paraId="50B7824D">
      <w:pPr>
        <w:pStyle w:val="4"/>
        <w:numPr>
          <w:ilvl w:val="1"/>
          <w:numId w:val="3"/>
        </w:numPr>
      </w:pPr>
      <w:bookmarkStart w:id="67" w:name="_Toc452108767"/>
      <w:bookmarkStart w:id="68" w:name="_Toc451698939"/>
      <w:bookmarkStart w:id="69" w:name="_Toc29086"/>
      <w:r>
        <w:rPr>
          <w:rFonts w:hint="eastAsia"/>
        </w:rPr>
        <w:t>求解计算</w:t>
      </w:r>
      <w:bookmarkEnd w:id="67"/>
      <w:bookmarkEnd w:id="68"/>
      <w:bookmarkEnd w:id="69"/>
    </w:p>
    <w:p w14:paraId="6525A993">
      <w:pPr>
        <w:pStyle w:val="5"/>
      </w:pPr>
      <w:r>
        <w:rPr>
          <w:rFonts w:hint="eastAsia"/>
        </w:rPr>
        <w:t>数学模型</w:t>
      </w:r>
    </w:p>
    <w:p w14:paraId="6A358B57">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658CE227">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35A831AA">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7267CB48">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4.5</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1"/>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14:paraId="72493E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60D66BD9">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3AA4B834">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74F02580">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14:paraId="39A5549D">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r>
      <w:tr w14:paraId="5C19CD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4F7474F">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11030FF3">
            <w:pPr>
              <w:widowControl w:val="0"/>
              <w:jc w:val="center"/>
              <w:rPr>
                <w:rFonts w:cs="Calibri"/>
                <w:kern w:val="2"/>
                <w:sz w:val="18"/>
                <w:szCs w:val="18"/>
              </w:rPr>
            </w:pPr>
            <w:r>
              <w:rPr>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2984A007">
            <w:pPr>
              <w:widowControl w:val="0"/>
              <w:rPr>
                <w:rFonts w:cs="Calibri"/>
                <w:kern w:val="2"/>
                <w:sz w:val="18"/>
                <w:szCs w:val="18"/>
              </w:rPr>
            </w:pPr>
            <w:r>
              <w:rPr>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14:paraId="7C547864">
            <w:pPr>
              <w:widowControl w:val="0"/>
              <w:jc w:val="both"/>
              <w:rPr>
                <w:rFonts w:cs="Calibri"/>
                <w:kern w:val="2"/>
                <w:sz w:val="18"/>
                <w:szCs w:val="18"/>
              </w:rPr>
            </w:pPr>
            <w:r>
              <w:rPr>
                <w:sz w:val="18"/>
                <w:szCs w:val="18"/>
              </w:rPr>
              <w:t>0</w:t>
            </w:r>
          </w:p>
        </w:tc>
      </w:tr>
      <w:tr w14:paraId="415912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3CECB4A">
            <w:pPr>
              <w:widowControl w:val="0"/>
              <w:jc w:val="both"/>
              <w:rPr>
                <w:rFonts w:cs="Calibri"/>
                <w:kern w:val="2"/>
                <w:sz w:val="18"/>
                <w:szCs w:val="18"/>
              </w:rPr>
            </w:pPr>
            <w:r>
              <w:rPr>
                <w:sz w:val="18"/>
                <w:szCs w:val="18"/>
              </w:rPr>
              <w:t xml:space="preserve">x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746482BB">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25BF871">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105D7BB5">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71984F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8E2836B">
            <w:pPr>
              <w:widowControl w:val="0"/>
              <w:jc w:val="both"/>
              <w:rPr>
                <w:rFonts w:cs="Calibri"/>
                <w:kern w:val="2"/>
                <w:sz w:val="18"/>
                <w:szCs w:val="18"/>
              </w:rPr>
            </w:pPr>
            <w:r>
              <w:rPr>
                <w:sz w:val="18"/>
                <w:szCs w:val="18"/>
              </w:rPr>
              <w:t xml:space="preserve">y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2F30E945">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AE17702">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513C175A">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2F74ED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07FB7D8">
            <w:pPr>
              <w:widowControl w:val="0"/>
              <w:jc w:val="both"/>
              <w:rPr>
                <w:rFonts w:cs="Calibri"/>
                <w:kern w:val="2"/>
                <w:sz w:val="18"/>
                <w:szCs w:val="18"/>
              </w:rPr>
            </w:pPr>
            <w:r>
              <w:rPr>
                <w:sz w:val="18"/>
                <w:szCs w:val="18"/>
              </w:rPr>
              <w:t xml:space="preserve">z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568017A9">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9C43A6C">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10FB6219">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−ρg</m:t>
                </m:r>
              </m:oMath>
            </m:oMathPara>
          </w:p>
        </w:tc>
      </w:tr>
      <w:tr w14:paraId="6D48B2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780C26C">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40E51ACE">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EC98F4F">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3E9E5692">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color w:val="000000"/>
                        <w:kern w:val="2"/>
                        <w:sz w:val="18"/>
                        <w:szCs w:val="18"/>
                      </w:rPr>
                    </m:ctrlPr>
                  </m:sub>
                </m:sSub>
                <m:r>
                  <m:rPr/>
                  <w:rPr>
                    <w:rFonts w:ascii="Cambria Math" w:hAnsi="Cambria Math" w:cs="Calibri"/>
                    <w:color w:val="000000"/>
                    <w:kern w:val="2"/>
                    <w:sz w:val="18"/>
                    <w:szCs w:val="18"/>
                  </w:rPr>
                  <m:t>−ρε</m:t>
                </m:r>
              </m:oMath>
            </m:oMathPara>
          </w:p>
        </w:tc>
      </w:tr>
      <w:tr w14:paraId="3817BC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1E1ACC2">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659481F7">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E02D977">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241ABE32">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1ε</m:t>
                    </m:r>
                    <m:ctrlPr>
                      <w:rPr>
                        <w:rFonts w:ascii="Cambria Math" w:hAnsi="Cambria Math" w:cs="Calibri"/>
                        <w:color w:val="000000"/>
                        <w:kern w:val="2"/>
                        <w:sz w:val="18"/>
                        <w:szCs w:val="18"/>
                      </w:rPr>
                    </m:ctrlPr>
                  </m:sub>
                </m:sSub>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ε</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3ε</m:t>
                        </m:r>
                        <m:ctrlPr>
                          <w:rPr>
                            <w:rFonts w:ascii="Cambria Math" w:hAnsi="Cambria Math" w:cs="Calibri"/>
                            <w:i/>
                            <w:color w:val="000000"/>
                            <w:kern w:val="2"/>
                            <w:sz w:val="18"/>
                            <w:szCs w:val="18"/>
                          </w:rPr>
                        </m:ctrlPr>
                      </m:sub>
                    </m:sSub>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i/>
                            <w:color w:val="000000"/>
                            <w:kern w:val="2"/>
                            <w:sz w:val="18"/>
                            <w:szCs w:val="18"/>
                          </w:rPr>
                        </m:ctrlPr>
                      </m:sub>
                    </m:sSub>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2ε</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ρ</m:t>
                </m:r>
                <m:f>
                  <m:fPr>
                    <m:ctrlPr>
                      <w:rPr>
                        <w:rFonts w:ascii="Cambria Math" w:hAnsi="Cambria Math" w:cs="Calibri"/>
                        <w:i/>
                        <w:color w:val="000000"/>
                        <w:kern w:val="2"/>
                        <w:sz w:val="18"/>
                        <w:szCs w:val="18"/>
                      </w:rPr>
                    </m:ctrlPr>
                  </m:fPr>
                  <m:num>
                    <m:sSup>
                      <m:sSupPr>
                        <m:ctrlPr>
                          <w:rPr>
                            <w:rFonts w:ascii="Cambria Math" w:hAnsi="Cambria Math" w:cs="Calibri"/>
                            <w:i/>
                            <w:color w:val="000000"/>
                            <w:kern w:val="2"/>
                            <w:sz w:val="18"/>
                            <w:szCs w:val="18"/>
                          </w:rPr>
                        </m:ctrlPr>
                      </m:sSupPr>
                      <m:e>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e>
                      <m:sup>
                        <m:r>
                          <m:rPr/>
                          <w:rPr>
                            <w:rFonts w:ascii="Cambria Math" w:hAnsi="Cambria Math" w:cs="Calibri"/>
                            <w:color w:val="000000"/>
                            <w:kern w:val="2"/>
                            <w:sz w:val="18"/>
                            <w:szCs w:val="18"/>
                          </w:rPr>
                          <m:t>2</m:t>
                        </m:r>
                        <m:ctrlPr>
                          <w:rPr>
                            <w:rFonts w:ascii="Cambria Math" w:hAnsi="Cambria Math" w:cs="Calibri"/>
                            <w:i/>
                            <w:color w:val="000000"/>
                            <w:kern w:val="2"/>
                            <w:sz w:val="18"/>
                            <w:szCs w:val="18"/>
                          </w:rPr>
                        </m:ctrlPr>
                      </m:sup>
                    </m:sSup>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R</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sub>
                </m:sSub>
              </m:oMath>
            </m:oMathPara>
          </w:p>
        </w:tc>
      </w:tr>
      <w:tr w14:paraId="6BC802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32F6031B">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471D7C53">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6C6EA6FF">
            <w:pPr>
              <w:widowControl w:val="0"/>
              <w:spacing w:line="480" w:lineRule="auto"/>
              <w:rPr>
                <w:rFonts w:cs="Calibri"/>
                <w:color w:val="000000"/>
                <w:kern w:val="2"/>
                <w:sz w:val="18"/>
                <w:szCs w:val="18"/>
              </w:rPr>
            </w:pPr>
            <m:oMathPara>
              <m:oMathParaPr>
                <m:jc m:val="left"/>
              </m:oMathParaPr>
              <m:oMath>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μ</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Pr</m:t>
                    </m:r>
                    <m:ctrlPr>
                      <w:rPr>
                        <w:rFonts w:ascii="Cambria Math" w:hAnsi="Cambria Math" w:cs="Calibri"/>
                        <w:color w:val="000000"/>
                        <w:kern w:val="2"/>
                        <w:sz w:val="18"/>
                        <w:szCs w:val="18"/>
                      </w:rPr>
                    </m:ctrlPr>
                  </m:den>
                </m:f>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num>
                  <m:den>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σ</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14:paraId="27E5FA76">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S</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r>
    </w:tbl>
    <w:p w14:paraId="6651ADD0">
      <w:pPr>
        <w:pStyle w:val="3"/>
        <w:ind w:firstLine="420"/>
        <w:rPr>
          <w:rFonts w:ascii="微软雅黑" w:hAnsi="微软雅黑" w:eastAsia="微软雅黑"/>
          <w:lang w:val="en-US"/>
        </w:rPr>
      </w:pPr>
      <w:r>
        <w:rPr>
          <w:rFonts w:hint="eastAsia" w:ascii="微软雅黑" w:hAnsi="微软雅黑" w:eastAsia="微软雅黑"/>
          <w:lang w:val="en-US"/>
        </w:rPr>
        <w:t>上表中的常数如下：</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1"/>
        <w:gridCol w:w="2016"/>
        <w:gridCol w:w="1998"/>
        <w:gridCol w:w="2083"/>
      </w:tblGrid>
      <w:tr w14:paraId="6C1FC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3BFCDE2D">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2016" w:type="dxa"/>
            <w:vAlign w:val="center"/>
          </w:tcPr>
          <w:p w14:paraId="138AAE57">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98" w:type="dxa"/>
            <w:vAlign w:val="center"/>
          </w:tcPr>
          <w:p w14:paraId="66F3A0DB">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83" w:type="dxa"/>
            <w:vAlign w:val="center"/>
          </w:tcPr>
          <w:p w14:paraId="0D322910">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401D0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272AB8CB">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016" w:type="dxa"/>
            <w:vAlign w:val="center"/>
          </w:tcPr>
          <w:p w14:paraId="24D8566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1998" w:type="dxa"/>
            <w:vAlign w:val="center"/>
          </w:tcPr>
          <w:p w14:paraId="0B01EF06">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083" w:type="dxa"/>
            <w:vAlign w:val="center"/>
          </w:tcPr>
          <w:p w14:paraId="6102CAD0">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=tanℎ</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32ADE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43D745A0">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016" w:type="dxa"/>
            <w:vAlign w:val="center"/>
          </w:tcPr>
          <w:p w14:paraId="7E77B1A1">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1998" w:type="dxa"/>
            <w:vAlign w:val="center"/>
          </w:tcPr>
          <w:p w14:paraId="43CE8F0A">
            <w:pPr>
              <w:pStyle w:val="3"/>
              <w:spacing w:line="240" w:lineRule="atLeast"/>
              <w:ind w:firstLine="0" w:firstLineChars="0"/>
              <w:jc w:val="left"/>
              <w:rPr>
                <w:rFonts w:ascii="微软雅黑" w:hAnsi="微软雅黑" w:eastAsia="微软雅黑"/>
                <w:sz w:val="18"/>
                <w:szCs w:val="18"/>
                <w:lang w:val="en-US"/>
              </w:rPr>
            </w:pPr>
          </w:p>
        </w:tc>
        <w:tc>
          <w:tcPr>
            <w:tcW w:w="2083" w:type="dxa"/>
            <w:vAlign w:val="center"/>
          </w:tcPr>
          <w:p w14:paraId="2983E717">
            <w:pPr>
              <w:pStyle w:val="3"/>
              <w:spacing w:line="240" w:lineRule="atLeast"/>
              <w:ind w:firstLine="0" w:firstLineChars="0"/>
              <w:jc w:val="left"/>
              <w:rPr>
                <w:rFonts w:ascii="微软雅黑" w:hAnsi="微软雅黑" w:eastAsia="微软雅黑"/>
                <w:sz w:val="18"/>
                <w:szCs w:val="18"/>
                <w:lang w:val="en-US"/>
              </w:rPr>
            </w:pPr>
          </w:p>
        </w:tc>
      </w:tr>
      <w:tr w14:paraId="04852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23743B22">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α−1.3929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−1.3929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0.6321</m:t>
                  </m:r>
                  <m:ctrlPr>
                    <w:rPr>
                      <w:rFonts w:ascii="Cambria Math" w:hAnsi="Cambria Math" w:eastAsia="微软雅黑"/>
                      <w:sz w:val="20"/>
                      <w:szCs w:val="18"/>
                      <w:lang w:val="en-US"/>
                    </w:rPr>
                  </m:ctrlPr>
                </m:sup>
              </m:sSup>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α+2.3929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+2.3929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0.3679</m:t>
                  </m:r>
                  <m:ctrlPr>
                    <w:rPr>
                      <w:rFonts w:ascii="Cambria Math" w:hAnsi="Cambria Math" w:eastAsia="微软雅黑"/>
                      <w:sz w:val="20"/>
                      <w:szCs w:val="18"/>
                      <w:lang w:val="en-US"/>
                    </w:rPr>
                  </m:ctrlPr>
                </m:sup>
              </m:sSup>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μ</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μ</m:t>
                      </m:r>
                      <m:ctrlPr>
                        <w:rPr>
                          <w:rFonts w:ascii="Cambria Math" w:hAnsi="Cambria Math" w:eastAsia="微软雅黑"/>
                          <w:i/>
                          <w:sz w:val="20"/>
                          <w:szCs w:val="18"/>
                          <w:lang w:val="en-US"/>
                        </w:rPr>
                      </m:ctrlPr>
                    </m:e>
                    <m:sub>
                      <m:r>
                        <m:rPr/>
                        <w:rPr>
                          <w:rFonts w:hint="eastAsia" w:ascii="Cambria Math" w:hAnsi="Cambria Math" w:eastAsia="微软雅黑"/>
                          <w:sz w:val="20"/>
                          <w:szCs w:val="18"/>
                          <w:lang w:val="en-US"/>
                        </w:rPr>
                        <m:t>eff</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52219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55614ACF">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46654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439C42E8">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20"/>
                      <w:szCs w:val="18"/>
                      <w:lang w:val="en-US"/>
                    </w:rPr>
                  </m:ctrlPr>
                </m:sSubPr>
                <m:e>
                  <m:r>
                    <m:rPr/>
                    <w:rPr>
                      <w:rFonts w:ascii="Cambria Math" w:hAnsi="Cambria Math" w:eastAsia="微软雅黑"/>
                      <w:sz w:val="20"/>
                      <w:szCs w:val="18"/>
                      <w:lang w:val="en-US"/>
                    </w:rPr>
                    <m:t>R</m:t>
                  </m:r>
                  <m:ctrlPr>
                    <w:rPr>
                      <w:rFonts w:ascii="Cambria Math" w:hAnsi="Cambria Math" w:eastAsia="微软雅黑"/>
                      <w:sz w:val="20"/>
                      <w:szCs w:val="18"/>
                      <w:lang w:val="en-US"/>
                    </w:rPr>
                  </m:ctrlPr>
                </m:e>
                <m:sub>
                  <m:r>
                    <m:rPr/>
                    <w:rPr>
                      <w:rFonts w:ascii="Cambria Math" w:hAnsi="Cambria Math" w:eastAsia="微软雅黑"/>
                      <w:sz w:val="20"/>
                      <w:szCs w:val="18"/>
                      <w:lang w:val="en-US"/>
                    </w:rPr>
                    <m:t>ε</m:t>
                  </m:r>
                  <m:ctrlPr>
                    <w:rPr>
                      <w:rFonts w:ascii="Cambria Math" w:hAnsi="Cambria Math" w:eastAsia="微软雅黑"/>
                      <w:sz w:val="20"/>
                      <w:szCs w:val="18"/>
                      <w:lang w:val="en-US"/>
                    </w:rPr>
                  </m:ctrlPr>
                </m:sub>
              </m:sSub>
              <m:r>
                <m:rPr>
                  <m:sty m:val="p"/>
                </m:rPr>
                <w:rPr>
                  <w:rFonts w:ascii="Cambria Math" w:hAnsi="Cambria Math" w:eastAsia="微软雅黑"/>
                  <w:sz w:val="20"/>
                  <w:szCs w:val="18"/>
                  <w:lang w:val="en-US"/>
                </w:rPr>
                <m:t>=</m:t>
              </m:r>
              <m:f>
                <m:fPr>
                  <m:ctrlPr>
                    <w:rPr>
                      <w:rFonts w:ascii="Cambria Math" w:hAnsi="Cambria Math" w:eastAsia="微软雅黑"/>
                      <w:sz w:val="20"/>
                      <w:szCs w:val="18"/>
                      <w:lang w:val="en-US"/>
                    </w:rPr>
                  </m:ctrlPr>
                </m:fPr>
                <m:num>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C</m:t>
                      </m:r>
                      <m:ctrlPr>
                        <w:rPr>
                          <w:rFonts w:ascii="Cambria Math" w:hAnsi="Cambria Math" w:eastAsia="微软雅黑"/>
                          <w:i/>
                          <w:sz w:val="20"/>
                          <w:szCs w:val="18"/>
                          <w:lang w:val="en-US"/>
                        </w:rPr>
                      </m:ctrlPr>
                    </m:e>
                    <m:sub>
                      <m:r>
                        <m:rPr/>
                        <w:rPr>
                          <w:rFonts w:ascii="Cambria Math" w:hAnsi="Cambria Math" w:eastAsia="微软雅黑"/>
                          <w:sz w:val="20"/>
                          <w:szCs w:val="18"/>
                          <w:lang w:val="en-US"/>
                        </w:rPr>
                        <m:t>μ</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ρ</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(1−</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η</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r>
                    <m:rPr/>
                    <w:rPr>
                      <w:rFonts w:ascii="Cambria Math" w:hAnsi="Cambria Math" w:eastAsia="微软雅黑"/>
                      <w:sz w:val="20"/>
                      <w:szCs w:val="18"/>
                      <w:lang w:val="en-US"/>
                    </w:rPr>
                    <m:t>)</m:t>
                  </m:r>
                  <m:ctrlPr>
                    <w:rPr>
                      <w:rFonts w:ascii="Cambria Math" w:hAnsi="Cambria Math" w:eastAsia="微软雅黑"/>
                      <w:sz w:val="20"/>
                      <w:szCs w:val="18"/>
                      <w:lang w:val="en-US"/>
                    </w:rPr>
                  </m:ctrlPr>
                </m:num>
                <m:den>
                  <m:r>
                    <m:rPr/>
                    <w:rPr>
                      <w:rFonts w:ascii="Cambria Math" w:hAnsi="Cambria Math" w:eastAsia="微软雅黑"/>
                      <w:sz w:val="20"/>
                      <w:szCs w:val="18"/>
                      <w:lang w:val="en-US"/>
                    </w:rPr>
                    <m:t>(1+β</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m:t>
                  </m:r>
                  <m:ctrlPr>
                    <w:rPr>
                      <w:rFonts w:ascii="Cambria Math" w:hAnsi="Cambria Math" w:eastAsia="微软雅黑"/>
                      <w:sz w:val="20"/>
                      <w:szCs w:val="18"/>
                      <w:lang w:val="en-US"/>
                    </w:rPr>
                  </m:ctrlPr>
                </m:den>
              </m:f>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ε</m:t>
                      </m:r>
                      <m:ctrlPr>
                        <w:rPr>
                          <w:rFonts w:ascii="Cambria Math" w:hAnsi="Cambria Math" w:eastAsia="微软雅黑"/>
                          <w:i/>
                          <w:sz w:val="20"/>
                          <w:szCs w:val="18"/>
                          <w:lang w:val="en-US"/>
                        </w:rPr>
                      </m:ctrlPr>
                    </m:e>
                    <m:sup>
                      <m:r>
                        <m:rPr/>
                        <w:rPr>
                          <w:rFonts w:ascii="Cambria Math" w:hAnsi="Cambria Math" w:eastAsia="微软雅黑"/>
                          <w:sz w:val="20"/>
                          <w:szCs w:val="18"/>
                          <w:lang w:val="en-US"/>
                        </w:rPr>
                        <m:t>2</m:t>
                      </m:r>
                      <m:ctrlPr>
                        <w:rPr>
                          <w:rFonts w:ascii="Cambria Math" w:hAnsi="Cambria Math" w:eastAsia="微软雅黑"/>
                          <w:i/>
                          <w:sz w:val="20"/>
                          <w:szCs w:val="18"/>
                          <w:lang w:val="en-US"/>
                        </w:rPr>
                      </m:ctrlPr>
                    </m:sup>
                  </m:sSup>
                  <m:ctrlPr>
                    <w:rPr>
                      <w:rFonts w:ascii="Cambria Math" w:hAnsi="Cambria Math" w:eastAsia="微软雅黑"/>
                      <w:i/>
                      <w:sz w:val="20"/>
                      <w:szCs w:val="18"/>
                      <w:lang w:val="en-US"/>
                    </w:rPr>
                  </m:ctrlPr>
                </m:num>
                <m:den>
                  <m:r>
                    <m:rPr/>
                    <w:rPr>
                      <w:rFonts w:hint="eastAsia" w:ascii="Cambria Math" w:hAnsi="Cambria Math" w:eastAsia="微软雅黑"/>
                      <w:sz w:val="20"/>
                      <w:szCs w:val="18"/>
                      <w:lang w:val="en-US"/>
                    </w:rPr>
                    <m:t>k</m:t>
                  </m:r>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20"/>
                  <w:szCs w:val="18"/>
                  <w:lang w:val="en-US"/>
                </w:rPr>
                <m:t>η=</m:t>
              </m:r>
              <m:f>
                <m:fPr>
                  <m:ctrlPr>
                    <w:rPr>
                      <w:rFonts w:ascii="Cambria Math" w:hAnsi="Cambria Math" w:eastAsia="微软雅黑"/>
                      <w:sz w:val="20"/>
                      <w:szCs w:val="18"/>
                      <w:lang w:val="en-US"/>
                    </w:rPr>
                  </m:ctrlPr>
                </m:fPr>
                <m:num>
                  <m:r>
                    <m:rPr/>
                    <w:rPr>
                      <w:rFonts w:ascii="Cambria Math" w:hAnsi="Cambria Math" w:eastAsia="微软雅黑"/>
                      <w:sz w:val="20"/>
                      <w:szCs w:val="18"/>
                      <w:lang w:val="en-US"/>
                    </w:rPr>
                    <m:t>S</m:t>
                  </m:r>
                  <m:r>
                    <m:rPr/>
                    <w:rPr>
                      <w:rFonts w:hint="eastAsia" w:ascii="Cambria Math" w:hAnsi="Cambria Math" w:eastAsia="微软雅黑"/>
                      <w:sz w:val="20"/>
                      <w:szCs w:val="18"/>
                      <w:lang w:val="en-US"/>
                    </w:rPr>
                    <m:t>k</m:t>
                  </m:r>
                  <m:ctrlPr>
                    <w:rPr>
                      <w:rFonts w:ascii="Cambria Math" w:hAnsi="Cambria Math" w:eastAsia="微软雅黑"/>
                      <w:sz w:val="20"/>
                      <w:szCs w:val="18"/>
                      <w:lang w:val="en-US"/>
                    </w:rPr>
                  </m:ctrlPr>
                </m:num>
                <m:den>
                  <m:r>
                    <m:rPr/>
                    <w:rPr>
                      <w:rFonts w:ascii="Cambria Math" w:hAnsi="Cambria Math" w:eastAsia="微软雅黑"/>
                      <w:sz w:val="20"/>
                      <w:szCs w:val="18"/>
                      <w:lang w:val="en-US"/>
                    </w:rPr>
                    <m:t>ε</m:t>
                  </m:r>
                  <m:ctrlPr>
                    <w:rPr>
                      <w:rFonts w:ascii="Cambria Math" w:hAnsi="Cambria Math" w:eastAsia="微软雅黑"/>
                      <w:sz w:val="20"/>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4CCAFBA7">
      <w:pPr>
        <w:pStyle w:val="3"/>
        <w:ind w:firstLine="525" w:firstLineChars="250"/>
        <w:rPr>
          <w:rFonts w:ascii="微软雅黑" w:hAnsi="微软雅黑" w:eastAsia="微软雅黑"/>
        </w:rPr>
      </w:pPr>
    </w:p>
    <w:p w14:paraId="24EFC8C7">
      <w:pPr>
        <w:pStyle w:val="5"/>
      </w:pPr>
      <w:r>
        <w:rPr>
          <w:rFonts w:hint="eastAsia"/>
        </w:rPr>
        <w:t>算法说明</w:t>
      </w:r>
    </w:p>
    <w:p w14:paraId="70B35AB9">
      <w:pPr>
        <w:pStyle w:val="3"/>
        <w:ind w:firstLine="420"/>
        <w:rPr>
          <w:rFonts w:ascii="微软雅黑" w:hAnsi="微软雅黑" w:eastAsia="微软雅黑"/>
          <w:lang w:val="en-US"/>
        </w:rPr>
      </w:pPr>
      <w:r>
        <w:rPr>
          <w:rFonts w:hint="eastAsia" w:ascii="微软雅黑" w:hAnsi="微软雅黑" w:eastAsia="微软雅黑"/>
          <w:lang w:val="en-US"/>
        </w:rPr>
        <w:t>本项目采用</w:t>
      </w:r>
      <w:r>
        <w:rPr>
          <w:rFonts w:ascii="微软雅黑" w:hAnsi="微软雅黑" w:eastAsia="微软雅黑"/>
          <w:lang w:val="en-US"/>
        </w:rPr>
        <w:t>SIMPLE</w:t>
      </w:r>
      <w:r>
        <w:rPr>
          <w:rFonts w:hint="eastAsia" w:ascii="微软雅黑" w:hAnsi="微软雅黑" w:eastAsia="微软雅黑"/>
          <w:lang w:val="en-US"/>
        </w:rPr>
        <w:t>算法求解</w:t>
      </w:r>
      <w:r>
        <w:rPr>
          <w:rFonts w:ascii="微软雅黑" w:hAnsi="微软雅黑" w:eastAsia="微软雅黑"/>
          <w:lang w:val="en-US"/>
        </w:rPr>
        <w:t>上述方程</w:t>
      </w:r>
      <w:r>
        <w:rPr>
          <w:rFonts w:hint="eastAsia" w:ascii="微软雅黑" w:hAnsi="微软雅黑" w:eastAsia="微软雅黑"/>
          <w:lang w:val="en-US"/>
        </w:rPr>
        <w:t>组。</w:t>
      </w:r>
      <w:bookmarkEnd w:id="30"/>
    </w:p>
    <w:p w14:paraId="55A7D363">
      <w:pPr>
        <w:pStyle w:val="4"/>
      </w:pPr>
      <w:bookmarkStart w:id="72" w:name="_Toc509844747"/>
      <w:bookmarkStart w:id="73" w:name="_Toc18590"/>
      <w:r>
        <w:rPr>
          <w:rFonts w:hint="eastAsia"/>
        </w:rPr>
        <w:t>风速放大系数计算</w:t>
      </w:r>
      <w:bookmarkEnd w:id="72"/>
      <w:bookmarkEnd w:id="73"/>
    </w:p>
    <w:p w14:paraId="6B5858E6">
      <w:pPr>
        <w:pStyle w:val="3"/>
        <w:ind w:firstLine="420"/>
        <w:rPr>
          <w:rFonts w:ascii="微软雅黑" w:hAnsi="微软雅黑" w:eastAsia="微软雅黑"/>
          <w:lang w:val="en-US"/>
        </w:rPr>
      </w:pPr>
      <w:r>
        <w:rPr>
          <w:rFonts w:hint="eastAsia" w:ascii="微软雅黑" w:hAnsi="微软雅黑" w:eastAsia="微软雅黑"/>
          <w:lang w:val="en-US"/>
        </w:rPr>
        <w:t>风速放大系数反映了高层建筑对风速的放大作用，通常指建筑物周围离地面高</w:t>
      </w:r>
      <w:r>
        <w:rPr>
          <w:rFonts w:ascii="微软雅黑" w:hAnsi="微软雅黑" w:eastAsia="微软雅黑"/>
          <w:lang w:val="en-US"/>
        </w:rPr>
        <w:t>1.5m</w:t>
      </w:r>
      <w:r>
        <w:rPr>
          <w:rFonts w:hint="eastAsia" w:ascii="微软雅黑" w:hAnsi="微软雅黑" w:eastAsia="微软雅黑"/>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80"/>
        <w:gridCol w:w="1742"/>
      </w:tblGrid>
      <w:tr w14:paraId="3F18A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12D4F86B">
            <w:pPr>
              <w:pStyle w:val="3"/>
              <w:ind w:firstLine="420"/>
              <w:rPr>
                <w:rFonts w:ascii="微软雅黑" w:hAnsi="微软雅黑" w:eastAsia="微软雅黑"/>
                <w:lang w:val="en-US"/>
              </w:rPr>
            </w:pPr>
            <m:oMathPara>
              <m:oMathParaPr>
                <m:jc m:val="center"/>
              </m:oMathParaPr>
              <m:oMath>
                <m:d>
                  <m:dPr>
                    <m:begChr m:val="{"/>
                    <m:endChr m:val=""/>
                    <m:ctrlPr>
                      <w:rPr>
                        <w:rFonts w:ascii="Cambria Math" w:hAnsi="Cambria Math" w:eastAsia="微软雅黑"/>
                        <w:lang w:val="en-US"/>
                      </w:rPr>
                    </m:ctrlPr>
                  </m:dPr>
                  <m:e>
                    <m:eqArr>
                      <m:eqArrPr>
                        <m:ctrlPr>
                          <w:rPr>
                            <w:rFonts w:ascii="Cambria Math" w:hAnsi="Cambria Math" w:eastAsia="微软雅黑"/>
                            <w:lang w:val="en-US"/>
                          </w:rPr>
                        </m:ctrlPr>
                      </m:eqArrPr>
                      <m:e>
                        <m:sSup>
                          <m:sSupPr>
                            <m:ctrlPr>
                              <w:rPr>
                                <w:rFonts w:ascii="Cambria Math" w:hAnsi="Cambria Math" w:eastAsia="微软雅黑"/>
                                <w:i/>
                                <w:lang w:val="en-US"/>
                              </w:rPr>
                            </m:ctrlPr>
                          </m:sSupPr>
                          <m:e>
                            <m:r>
                              <m:rPr/>
                              <w:rPr>
                                <w:rFonts w:ascii="Cambria Math" w:hAnsi="Cambria Math" w:eastAsia="微软雅黑"/>
                                <w:lang w:val="en-US"/>
                              </w:rPr>
                              <m:t>v</m:t>
                            </m:r>
                            <m:ctrlPr>
                              <w:rPr>
                                <w:rFonts w:ascii="Cambria Math" w:hAnsi="Cambria Math" w:eastAsia="微软雅黑"/>
                                <w:i/>
                                <w:lang w:val="en-US"/>
                              </w:rPr>
                            </m:ctrlPr>
                          </m:e>
                          <m:sup>
                            <m:r>
                              <m:rPr/>
                              <w:rPr>
                                <w:rFonts w:ascii="Cambria Math" w:hAnsi="Cambria Math" w:eastAsia="微软雅黑"/>
                                <w:lang w:val="en-US"/>
                              </w:rPr>
                              <m:t>'</m:t>
                            </m:r>
                            <m:ctrlPr>
                              <w:rPr>
                                <w:rFonts w:ascii="Cambria Math" w:hAnsi="Cambria Math" w:eastAsia="微软雅黑"/>
                                <w:i/>
                                <w:lang w:val="en-US"/>
                              </w:rPr>
                            </m:ctrlPr>
                          </m:sup>
                        </m:sSup>
                        <m:r>
                          <m:rPr/>
                          <w:rPr>
                            <w:rFonts w:ascii="Cambria Math" w:hAnsi="Cambria Math" w:eastAsia="微软雅黑"/>
                            <w:lang w:val="en-US"/>
                          </w:rPr>
                          <m:t>=</m:t>
                        </m:r>
                        <m:f>
                          <m:fPr>
                            <m:ctrlPr>
                              <w:rPr>
                                <w:rFonts w:ascii="Cambria Math" w:hAnsi="Cambria Math" w:eastAsia="微软雅黑"/>
                                <w:i/>
                                <w:lang w:val="en-US"/>
                              </w:rPr>
                            </m:ctrlPr>
                          </m:fPr>
                          <m:num>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1.5B</m:t>
                                </m:r>
                                <m:ctrlPr>
                                  <w:rPr>
                                    <w:rFonts w:ascii="Cambria Math" w:hAnsi="Cambria Math" w:eastAsia="微软雅黑"/>
                                    <w:i/>
                                    <w:lang w:val="en-US"/>
                                  </w:rPr>
                                </m:ctrlPr>
                              </m:sub>
                            </m:sSub>
                            <m:ctrlPr>
                              <w:rPr>
                                <w:rFonts w:ascii="Cambria Math" w:hAnsi="Cambria Math" w:eastAsia="微软雅黑"/>
                                <w:i/>
                                <w:lang w:val="en-US"/>
                              </w:rPr>
                            </m:ctrlPr>
                          </m:num>
                          <m:den>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ctrlPr>
                              <w:rPr>
                                <w:rFonts w:ascii="Cambria Math" w:hAnsi="Cambria Math" w:eastAsia="微软雅黑"/>
                                <w:i/>
                                <w:lang w:val="en-US"/>
                              </w:rPr>
                            </m:ctrlPr>
                          </m:den>
                        </m:f>
                        <m:ctrlPr>
                          <w:rPr>
                            <w:rFonts w:ascii="Cambria Math" w:hAnsi="Cambria Math" w:eastAsia="微软雅黑"/>
                            <w:lang w:val="en-US"/>
                          </w:rPr>
                        </m:ctrlPr>
                      </m:e>
                      <m:e>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10f</m:t>
                            </m:r>
                            <m:ctrlPr>
                              <w:rPr>
                                <w:rFonts w:ascii="Cambria Math" w:hAnsi="Cambria Math" w:eastAsia="微软雅黑"/>
                                <w:i/>
                                <w:lang w:val="en-US"/>
                              </w:rPr>
                            </m:ctrlPr>
                          </m:sub>
                        </m:sSub>
                        <m:sSup>
                          <m:sSupPr>
                            <m:ctrlPr>
                              <w:rPr>
                                <w:rFonts w:ascii="Cambria Math" w:hAnsi="Cambria Math" w:eastAsia="微软雅黑"/>
                                <w:i/>
                                <w:lang w:val="en-US"/>
                              </w:rPr>
                            </m:ctrlPr>
                          </m:sSupPr>
                          <m:e>
                            <m:d>
                              <m:dPr>
                                <m:ctrlPr>
                                  <w:rPr>
                                    <w:rFonts w:ascii="Cambria Math" w:hAnsi="Cambria Math" w:eastAsia="微软雅黑"/>
                                    <w:i/>
                                    <w:lang w:val="en-US"/>
                                  </w:rPr>
                                </m:ctrlPr>
                              </m:dPr>
                              <m:e>
                                <m:f>
                                  <m:fPr>
                                    <m:ctrlPr>
                                      <w:rPr>
                                        <w:rFonts w:ascii="Cambria Math" w:hAnsi="Cambria Math" w:eastAsia="微软雅黑"/>
                                        <w:i/>
                                        <w:lang w:val="en-US"/>
                                      </w:rPr>
                                    </m:ctrlPr>
                                  </m:fPr>
                                  <m:num>
                                    <m:r>
                                      <m:rPr/>
                                      <w:rPr>
                                        <w:rFonts w:ascii="Cambria Math" w:hAnsi="Cambria Math" w:eastAsia="微软雅黑"/>
                                        <w:lang w:val="en-US"/>
                                      </w:rPr>
                                      <m:t>1.5</m:t>
                                    </m:r>
                                    <m:ctrlPr>
                                      <w:rPr>
                                        <w:rFonts w:ascii="Cambria Math" w:hAnsi="Cambria Math" w:eastAsia="微软雅黑"/>
                                        <w:i/>
                                        <w:lang w:val="en-US"/>
                                      </w:rPr>
                                    </m:ctrlPr>
                                  </m:num>
                                  <m:den>
                                    <m:r>
                                      <m:rPr/>
                                      <w:rPr>
                                        <w:rFonts w:ascii="Cambria Math" w:hAnsi="Cambria Math" w:eastAsia="微软雅黑"/>
                                        <w:lang w:val="en-US"/>
                                      </w:rPr>
                                      <m:t>10</m:t>
                                    </m:r>
                                    <m:ctrlPr>
                                      <w:rPr>
                                        <w:rFonts w:ascii="Cambria Math" w:hAnsi="Cambria Math" w:eastAsia="微软雅黑"/>
                                        <w:i/>
                                        <w:lang w:val="en-US"/>
                                      </w:rPr>
                                    </m:ctrlPr>
                                  </m:den>
                                </m:f>
                                <m:ctrlPr>
                                  <w:rPr>
                                    <w:rFonts w:ascii="Cambria Math" w:hAnsi="Cambria Math" w:eastAsia="微软雅黑"/>
                                    <w:i/>
                                    <w:lang w:val="en-US"/>
                                  </w:rPr>
                                </m:ctrlPr>
                              </m:e>
                            </m:d>
                            <m:ctrlPr>
                              <w:rPr>
                                <w:rFonts w:ascii="Cambria Math" w:hAnsi="Cambria Math" w:eastAsia="微软雅黑"/>
                                <w:i/>
                                <w:lang w:val="en-US"/>
                              </w:rPr>
                            </m:ctrlPr>
                          </m:e>
                          <m:sup>
                            <m:r>
                              <m:rPr/>
                              <w:rPr>
                                <w:rFonts w:ascii="Cambria Math" w:hAnsi="Cambria Math" w:eastAsia="微软雅黑"/>
                                <w:lang w:val="en-US"/>
                              </w:rPr>
                              <m:t>α</m:t>
                            </m:r>
                            <m:ctrlPr>
                              <w:rPr>
                                <w:rFonts w:ascii="Cambria Math" w:hAnsi="Cambria Math" w:eastAsia="微软雅黑"/>
                                <w:i/>
                                <w:lang w:val="en-US"/>
                              </w:rPr>
                            </m:ctrlPr>
                          </m:sup>
                        </m:sSup>
                        <m:ctrlPr>
                          <w:rPr>
                            <w:rFonts w:ascii="Cambria Math" w:hAnsi="Cambria Math" w:eastAsia="微软雅黑"/>
                            <w:lang w:val="en-US"/>
                          </w:rPr>
                        </m:ctrlPr>
                      </m:e>
                    </m:eqArr>
                    <m:ctrlPr>
                      <w:rPr>
                        <w:rFonts w:ascii="Cambria Math" w:hAnsi="Cambria Math" w:eastAsia="微软雅黑"/>
                        <w:lang w:val="en-US"/>
                      </w:rPr>
                    </m:ctrlPr>
                  </m:e>
                </m:d>
              </m:oMath>
            </m:oMathPara>
          </w:p>
        </w:tc>
        <w:tc>
          <w:tcPr>
            <w:tcW w:w="1832" w:type="dxa"/>
            <w:vAlign w:val="center"/>
          </w:tcPr>
          <w:p w14:paraId="037CFEAB">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3933C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3AC618BD">
            <w:pPr>
              <w:spacing w:line="360" w:lineRule="exact"/>
              <w:rPr>
                <w:lang w:val="en-US"/>
              </w:rPr>
            </w:pPr>
          </w:p>
        </w:tc>
        <w:tc>
          <w:tcPr>
            <w:tcW w:w="1832" w:type="dxa"/>
            <w:vAlign w:val="center"/>
          </w:tcPr>
          <w:p w14:paraId="1E7145DE">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35B6A3FD">
      <w:pPr>
        <w:pStyle w:val="3"/>
        <w:ind w:firstLine="420"/>
        <w:rPr>
          <w:rFonts w:ascii="微软雅黑" w:hAnsi="微软雅黑" w:eastAsia="微软雅黑"/>
          <w:lang w:val="en-US"/>
        </w:rPr>
      </w:pPr>
      <w:r>
        <w:rPr>
          <w:rFonts w:hint="eastAsia" w:ascii="微软雅黑" w:hAnsi="微软雅黑" w:eastAsia="微软雅黑"/>
          <w:lang w:val="en-US"/>
        </w:rPr>
        <w:t>其中：</w:t>
      </w:r>
    </w:p>
    <w:p w14:paraId="397A4A35">
      <w:pPr>
        <w:pStyle w:val="3"/>
        <w:ind w:firstLine="420"/>
        <w:rPr>
          <w:rFonts w:ascii="微软雅黑" w:hAnsi="微软雅黑" w:eastAsia="微软雅黑"/>
        </w:rPr>
      </w:pPr>
      <w:r>
        <w:rPr>
          <w:rFonts w:ascii="微软雅黑" w:hAnsi="微软雅黑" w:eastAsia="微软雅黑"/>
          <w:position w:val="-6"/>
        </w:rPr>
        <w:object>
          <v:shape id="_x0000_i1028" o:spt="75" type="#_x0000_t75" style="height:13.5pt;width:12.75pt;" o:ole="t" filled="f" o:preferrelative="t" stroked="f" coordsize="21600,21600">
            <v:path/>
            <v:fill on="f" focussize="0,0"/>
            <v:stroke on="f" joinstyle="miter"/>
            <v:imagedata r:id="rId23" o:title=""/>
            <o:lock v:ext="edit" aspectratio="t"/>
            <w10:wrap type="none"/>
            <w10:anchorlock/>
          </v:shape>
          <o:OLEObject Type="Embed" ProgID="Equation.3" ShapeID="_x0000_i1028" DrawAspect="Content" ObjectID="_1468075728" r:id="rId22">
            <o:LockedField>false</o:LockedField>
          </o:OLEObject>
        </w:object>
      </w:r>
      <w:r>
        <w:rPr>
          <w:rFonts w:hint="eastAsia" w:ascii="微软雅黑" w:hAnsi="微软雅黑" w:eastAsia="微软雅黑"/>
        </w:rPr>
        <w:t>——风速放大系数；</w:t>
      </w:r>
    </w:p>
    <w:p w14:paraId="7AE8F53E">
      <w:pPr>
        <w:pStyle w:val="3"/>
        <w:ind w:firstLine="420"/>
        <w:rPr>
          <w:rFonts w:ascii="微软雅黑" w:hAnsi="微软雅黑" w:eastAsia="微软雅黑"/>
          <w:lang w:val="en-US"/>
        </w:rPr>
      </w:pPr>
      <w:r>
        <w:rPr>
          <w:rFonts w:ascii="微软雅黑" w:hAnsi="微软雅黑" w:eastAsia="微软雅黑"/>
          <w:position w:val="-10"/>
        </w:rPr>
        <w:object>
          <v:shape id="_x0000_i1029" o:spt="75" type="#_x0000_t75" style="height:18.75pt;width:23.25pt;" o:ole="t" filled="f" o:preferrelative="t" stroked="f" coordsize="21600,21600">
            <v:path/>
            <v:fill on="f" focussize="0,0"/>
            <v:stroke on="f" joinstyle="miter"/>
            <v:imagedata r:id="rId25" o:title=""/>
            <o:lock v:ext="edit" aspectratio="t"/>
            <w10:wrap type="none"/>
            <w10:anchorlock/>
          </v:shape>
          <o:OLEObject Type="Embed" ProgID="Equation.3" ShapeID="_x0000_i1029" DrawAspect="Content" ObjectID="_1468075729" r:id="rId24">
            <o:LockedField>false</o:LockedField>
          </o:OLEObject>
        </w:object>
      </w:r>
      <w:r>
        <w:rPr>
          <w:rFonts w:hint="eastAsia" w:ascii="微软雅黑" w:hAnsi="微软雅黑" w:eastAsia="微软雅黑"/>
        </w:rPr>
        <w:t>——</w:t>
      </w:r>
      <w:r>
        <w:rPr>
          <w:rFonts w:hint="eastAsia" w:ascii="微软雅黑" w:hAnsi="微软雅黑" w:eastAsia="微软雅黑"/>
          <w:lang w:val="en-US"/>
        </w:rPr>
        <w:t>建筑物周围距离地面高1.5米处最大风速，该风速通过前述风速计算获取，对应1.5高度处风速云图中的数据。</w:t>
      </w:r>
    </w:p>
    <w:p w14:paraId="2AFC3E77">
      <w:pPr>
        <w:pStyle w:val="3"/>
        <w:ind w:firstLine="420"/>
        <w:rPr>
          <w:rFonts w:ascii="微软雅黑" w:hAnsi="微软雅黑" w:eastAsia="微软雅黑"/>
          <w:lang w:val="en-US"/>
        </w:rPr>
      </w:pPr>
      <w:r>
        <w:rPr>
          <w:rFonts w:ascii="微软雅黑" w:hAnsi="微软雅黑" w:eastAsia="微软雅黑"/>
          <w:position w:val="-14"/>
        </w:rPr>
        <w:object>
          <v:shape id="_x0000_i1030" o:spt="75" type="#_x0000_t75" style="height:18.75pt;width:23.25pt;" o:ole="t" filled="f" o:preferrelative="t" stroked="f" coordsize="21600,21600">
            <v:path/>
            <v:fill on="f" focussize="0,0"/>
            <v:stroke on="f" joinstyle="miter"/>
            <v:imagedata r:id="rId27" o:title=""/>
            <o:lock v:ext="edit" aspectratio="t"/>
            <w10:wrap type="none"/>
            <w10:anchorlock/>
          </v:shape>
          <o:OLEObject Type="Embed" ProgID="Equation.3" ShapeID="_x0000_i1030" DrawAspect="Content" ObjectID="_1468075730" r:id="rId26">
            <o:LockedField>false</o:LockedField>
          </o:OLEObject>
        </w:object>
      </w:r>
      <w:r>
        <w:rPr>
          <w:rFonts w:hint="eastAsia" w:ascii="微软雅黑" w:hAnsi="微软雅黑" w:eastAsia="微软雅黑"/>
        </w:rPr>
        <w:t>——远离建筑的开阔区域，距离地面1.5米高度处风速</w:t>
      </w:r>
      <w:r>
        <w:rPr>
          <w:rFonts w:hint="eastAsia" w:ascii="微软雅黑" w:hAnsi="微软雅黑" w:eastAsia="微软雅黑"/>
          <w:lang w:val="en-US"/>
        </w:rPr>
        <w:t>。</w:t>
      </w:r>
    </w:p>
    <w:p w14:paraId="588F9948">
      <w:pPr>
        <w:pStyle w:val="3"/>
        <w:ind w:firstLine="420"/>
        <w:rPr>
          <w:rFonts w:ascii="微软雅黑" w:hAnsi="微软雅黑" w:eastAsia="微软雅黑"/>
          <w:lang w:val="en-US"/>
        </w:rPr>
      </w:pPr>
      <w:r>
        <w:rPr>
          <w:rFonts w:ascii="微软雅黑" w:hAnsi="微软雅黑" w:eastAsia="微软雅黑"/>
          <w:position w:val="-14"/>
        </w:rPr>
        <w:object>
          <v:shape id="_x0000_i1031" o:spt="75" type="#_x0000_t75" style="height:18.75pt;width:18.75pt;" o:ole="t" filled="f" o:preferrelative="t" stroked="f" coordsize="21600,21600">
            <v:path/>
            <v:fill on="f" focussize="0,0"/>
            <v:stroke on="f" joinstyle="miter"/>
            <v:imagedata r:id="rId29" o:title=""/>
            <o:lock v:ext="edit" aspectratio="t"/>
            <w10:wrap type="none"/>
            <w10:anchorlock/>
          </v:shape>
          <o:OLEObject Type="Embed" ProgID="Equation.3" ShapeID="_x0000_i1031" DrawAspect="Content" ObjectID="_1468075731" r:id="rId28">
            <o:LockedField>false</o:LockedField>
          </o:OLEObject>
        </w:object>
      </w:r>
      <w:r>
        <w:rPr>
          <w:rFonts w:hint="eastAsia" w:ascii="微软雅黑" w:hAnsi="微软雅黑" w:eastAsia="微软雅黑"/>
        </w:rPr>
        <w:t>——远离建筑的开阔区域，距离地面10米高度处风速，此处取室外风场入口边界风速</w:t>
      </w:r>
      <w:r>
        <w:rPr>
          <w:rFonts w:hint="eastAsia" w:ascii="微软雅黑" w:hAnsi="微软雅黑" w:eastAsia="微软雅黑"/>
          <w:lang w:val="en-US"/>
        </w:rPr>
        <w:t>。</w:t>
      </w:r>
    </w:p>
    <w:p w14:paraId="3C83B836">
      <w:pPr>
        <w:pStyle w:val="3"/>
        <w:ind w:firstLine="42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74" w:name="地面粗糙度指数"/>
      <w:r>
        <w:rPr>
          <w:rFonts w:hint="eastAsia" w:ascii="微软雅黑" w:hAnsi="微软雅黑" w:eastAsia="微软雅黑"/>
          <w:lang w:val="en-US"/>
        </w:rPr>
        <w:t>0.28</w:t>
      </w:r>
      <w:bookmarkEnd w:id="74"/>
      <w:r>
        <w:rPr>
          <w:rFonts w:hint="eastAsia" w:ascii="微软雅黑" w:hAnsi="微软雅黑" w:eastAsia="微软雅黑"/>
          <w:lang w:val="en-US"/>
        </w:rPr>
        <w:t>；</w:t>
      </w:r>
    </w:p>
    <w:p w14:paraId="0B700E41">
      <w:pPr>
        <w:pStyle w:val="2"/>
        <w:rPr>
          <w:rFonts w:ascii="微软雅黑" w:hAnsi="微软雅黑"/>
        </w:rPr>
      </w:pPr>
      <w:bookmarkStart w:id="75" w:name="_Toc452108768"/>
      <w:bookmarkStart w:id="76" w:name="_Toc30261"/>
      <w:r>
        <w:rPr>
          <w:rFonts w:hint="eastAsia" w:ascii="微软雅黑" w:hAnsi="微软雅黑"/>
        </w:rPr>
        <w:t>结果</w:t>
      </w:r>
      <w:r>
        <w:rPr>
          <w:rFonts w:ascii="微软雅黑" w:hAnsi="微软雅黑"/>
        </w:rPr>
        <w:t>分析</w:t>
      </w:r>
      <w:bookmarkEnd w:id="75"/>
      <w:bookmarkEnd w:id="76"/>
    </w:p>
    <w:p w14:paraId="6910489F">
      <w:pPr>
        <w:pStyle w:val="4"/>
        <w:rPr>
          <w:szCs w:val="21"/>
        </w:rPr>
      </w:pPr>
      <w:bookmarkStart w:id="77" w:name="_Toc23068"/>
      <w:r>
        <w:rPr>
          <w:rFonts w:hint="eastAsia"/>
          <w:szCs w:val="21"/>
        </w:rPr>
        <w:t>工况</w:t>
      </w:r>
      <w:r>
        <w:rPr>
          <w:szCs w:val="21"/>
        </w:rPr>
        <w:t>表</w:t>
      </w:r>
      <w:bookmarkEnd w:id="77"/>
    </w:p>
    <w:p w14:paraId="286612BB">
      <w:pPr>
        <w:pStyle w:val="3"/>
        <w:ind w:firstLine="420"/>
        <w:rPr>
          <w:rFonts w:ascii="微软雅黑" w:hAnsi="微软雅黑" w:eastAsia="微软雅黑"/>
        </w:rPr>
      </w:pPr>
      <w:r>
        <w:rPr>
          <w:rFonts w:hint="eastAsia" w:ascii="微软雅黑" w:hAnsi="微软雅黑" w:eastAsia="微软雅黑"/>
        </w:rPr>
        <w:t>本结果基于以下几个工况进行计算：</w:t>
      </w:r>
    </w:p>
    <w:tbl>
      <w:tblPr>
        <w:tblStyle w:val="21"/>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121"/>
        <w:gridCol w:w="1987"/>
        <w:gridCol w:w="2024"/>
        <w:gridCol w:w="1695"/>
        <w:gridCol w:w="1695"/>
      </w:tblGrid>
      <w:tr w14:paraId="1045A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shd w:val="clear" w:color="auto" w:fill="E6E6E6"/>
          </w:tcPr>
          <w:p w14:paraId="63529285">
            <w:pPr>
              <w:spacing w:line="400" w:lineRule="exact"/>
              <w:jc w:val="center"/>
              <w:rPr>
                <w:sz w:val="18"/>
                <w:szCs w:val="18"/>
              </w:rPr>
            </w:pPr>
            <w:bookmarkStart w:id="78" w:name="计算工况表"/>
            <w:r>
              <w:rPr>
                <w:rFonts w:hint="eastAsia"/>
                <w:sz w:val="18"/>
                <w:szCs w:val="18"/>
              </w:rPr>
              <w:t>序号</w:t>
            </w:r>
          </w:p>
        </w:tc>
        <w:tc>
          <w:tcPr>
            <w:tcW w:w="1166" w:type="pct"/>
            <w:shd w:val="clear" w:color="auto" w:fill="E6E6E6"/>
            <w:vAlign w:val="center"/>
          </w:tcPr>
          <w:p w14:paraId="17D7D10C">
            <w:pPr>
              <w:spacing w:line="400" w:lineRule="exact"/>
              <w:jc w:val="center"/>
              <w:rPr>
                <w:sz w:val="18"/>
                <w:szCs w:val="18"/>
              </w:rPr>
            </w:pPr>
            <w:r>
              <w:rPr>
                <w:rFonts w:hint="eastAsia"/>
                <w:sz w:val="18"/>
                <w:szCs w:val="18"/>
              </w:rPr>
              <w:t>季节</w:t>
            </w:r>
          </w:p>
        </w:tc>
        <w:tc>
          <w:tcPr>
            <w:tcW w:w="1187" w:type="pct"/>
            <w:shd w:val="clear" w:color="auto" w:fill="E6E6E6"/>
            <w:vAlign w:val="center"/>
          </w:tcPr>
          <w:p w14:paraId="0E0CC5EF">
            <w:pPr>
              <w:spacing w:line="400" w:lineRule="exact"/>
              <w:jc w:val="center"/>
              <w:rPr>
                <w:sz w:val="18"/>
                <w:szCs w:val="18"/>
              </w:rPr>
            </w:pPr>
            <w:r>
              <w:rPr>
                <w:rFonts w:hint="eastAsia"/>
                <w:sz w:val="18"/>
                <w:szCs w:val="18"/>
              </w:rPr>
              <w:t>风速</w:t>
            </w:r>
            <w:r>
              <w:rPr>
                <w:sz w:val="18"/>
                <w:szCs w:val="18"/>
              </w:rPr>
              <w:t>(m/s)</w:t>
            </w:r>
          </w:p>
        </w:tc>
        <w:tc>
          <w:tcPr>
            <w:tcW w:w="994" w:type="pct"/>
            <w:shd w:val="clear" w:color="auto" w:fill="E6E6E6"/>
          </w:tcPr>
          <w:p w14:paraId="0F44696E">
            <w:pPr>
              <w:spacing w:line="400" w:lineRule="exact"/>
              <w:jc w:val="center"/>
              <w:rPr>
                <w:sz w:val="18"/>
                <w:szCs w:val="18"/>
              </w:rPr>
            </w:pPr>
            <w:r>
              <w:rPr>
                <w:rFonts w:hint="eastAsia"/>
                <w:sz w:val="18"/>
                <w:szCs w:val="18"/>
              </w:rPr>
              <w:t>风向</w:t>
            </w:r>
          </w:p>
        </w:tc>
        <w:tc>
          <w:tcPr>
            <w:tcW w:w="994" w:type="pct"/>
            <w:shd w:val="clear" w:color="auto" w:fill="E6E6E6"/>
          </w:tcPr>
          <w:p w14:paraId="74415BE6">
            <w:pPr>
              <w:spacing w:line="400" w:lineRule="exact"/>
              <w:jc w:val="center"/>
              <w:rPr>
                <w:sz w:val="18"/>
                <w:szCs w:val="18"/>
              </w:rPr>
            </w:pPr>
            <w:r>
              <w:rPr>
                <w:rFonts w:hint="eastAsia"/>
                <w:sz w:val="18"/>
                <w:szCs w:val="18"/>
              </w:rPr>
              <w:t>风向（°</w:t>
            </w:r>
            <w:r>
              <w:rPr>
                <w:sz w:val="18"/>
                <w:szCs w:val="18"/>
              </w:rPr>
              <w:t>）</w:t>
            </w:r>
          </w:p>
        </w:tc>
      </w:tr>
      <w:tr w14:paraId="0AE02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tcPr>
          <w:p w14:paraId="1AAD9F7A">
            <w:pPr>
              <w:spacing w:line="400" w:lineRule="exact"/>
              <w:jc w:val="center"/>
              <w:rPr>
                <w:sz w:val="18"/>
                <w:szCs w:val="18"/>
              </w:rPr>
            </w:pPr>
            <w:r>
              <w:rPr>
                <w:sz w:val="18"/>
                <w:szCs w:val="18"/>
              </w:rPr>
              <w:t>1</w:t>
            </w:r>
          </w:p>
        </w:tc>
        <w:tc>
          <w:tcPr>
            <w:tcW w:w="1166" w:type="pct"/>
            <w:vAlign w:val="center"/>
          </w:tcPr>
          <w:p w14:paraId="22247681">
            <w:pPr>
              <w:spacing w:line="400" w:lineRule="exact"/>
              <w:jc w:val="center"/>
              <w:rPr>
                <w:sz w:val="18"/>
                <w:szCs w:val="18"/>
              </w:rPr>
            </w:pPr>
            <w:r>
              <w:rPr>
                <w:sz w:val="18"/>
                <w:szCs w:val="18"/>
              </w:rPr>
              <w:t>冬季</w:t>
            </w:r>
          </w:p>
        </w:tc>
        <w:tc>
          <w:tcPr>
            <w:tcW w:w="1187" w:type="pct"/>
            <w:vAlign w:val="center"/>
          </w:tcPr>
          <w:p w14:paraId="64946E9A">
            <w:pPr>
              <w:spacing w:line="400" w:lineRule="exact"/>
              <w:jc w:val="center"/>
              <w:rPr>
                <w:sz w:val="18"/>
                <w:szCs w:val="18"/>
              </w:rPr>
            </w:pPr>
            <w:r>
              <w:rPr>
                <w:sz w:val="18"/>
                <w:szCs w:val="18"/>
              </w:rPr>
              <w:t>4.40</w:t>
            </w:r>
          </w:p>
        </w:tc>
        <w:tc>
          <w:tcPr>
            <w:tcW w:w="994" w:type="pct"/>
          </w:tcPr>
          <w:p w14:paraId="35A29316">
            <w:pPr>
              <w:spacing w:line="400" w:lineRule="exact"/>
              <w:jc w:val="center"/>
              <w:rPr>
                <w:sz w:val="18"/>
                <w:szCs w:val="18"/>
              </w:rPr>
            </w:pPr>
            <w:r>
              <w:rPr>
                <w:sz w:val="18"/>
                <w:szCs w:val="18"/>
              </w:rPr>
              <w:t>NE</w:t>
            </w:r>
          </w:p>
        </w:tc>
        <w:tc>
          <w:tcPr>
            <w:tcW w:w="994" w:type="pct"/>
          </w:tcPr>
          <w:p w14:paraId="3FF24370">
            <w:pPr>
              <w:spacing w:line="400" w:lineRule="exact"/>
              <w:jc w:val="center"/>
              <w:rPr>
                <w:sz w:val="18"/>
                <w:szCs w:val="18"/>
              </w:rPr>
            </w:pPr>
            <w:r>
              <w:rPr>
                <w:sz w:val="18"/>
                <w:szCs w:val="18"/>
              </w:rPr>
              <w:t>45.0</w:t>
            </w:r>
          </w:p>
        </w:tc>
      </w:tr>
      <w:tr w14:paraId="1E35D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tcPr>
          <w:p w14:paraId="5E3D8417">
            <w:pPr>
              <w:spacing w:line="400" w:lineRule="exact"/>
              <w:jc w:val="center"/>
              <w:rPr>
                <w:sz w:val="18"/>
                <w:szCs w:val="18"/>
              </w:rPr>
            </w:pPr>
            <w:r>
              <w:rPr>
                <w:sz w:val="18"/>
                <w:szCs w:val="18"/>
              </w:rPr>
              <w:t>2</w:t>
            </w:r>
          </w:p>
        </w:tc>
        <w:tc>
          <w:tcPr>
            <w:tcW w:w="1166" w:type="pct"/>
            <w:vAlign w:val="center"/>
          </w:tcPr>
          <w:p w14:paraId="3AD42187">
            <w:pPr>
              <w:spacing w:line="400" w:lineRule="exact"/>
              <w:jc w:val="center"/>
              <w:rPr>
                <w:sz w:val="18"/>
                <w:szCs w:val="18"/>
              </w:rPr>
            </w:pPr>
            <w:r>
              <w:rPr>
                <w:sz w:val="18"/>
                <w:szCs w:val="18"/>
              </w:rPr>
              <w:t>夏季</w:t>
            </w:r>
          </w:p>
        </w:tc>
        <w:tc>
          <w:tcPr>
            <w:tcW w:w="1187" w:type="pct"/>
            <w:vAlign w:val="center"/>
          </w:tcPr>
          <w:p w14:paraId="60525FCD">
            <w:pPr>
              <w:spacing w:line="400" w:lineRule="exact"/>
              <w:jc w:val="center"/>
              <w:rPr>
                <w:sz w:val="18"/>
                <w:szCs w:val="18"/>
              </w:rPr>
            </w:pPr>
            <w:r>
              <w:rPr>
                <w:sz w:val="18"/>
                <w:szCs w:val="18"/>
              </w:rPr>
              <w:t>2.60</w:t>
            </w:r>
          </w:p>
        </w:tc>
        <w:tc>
          <w:tcPr>
            <w:tcW w:w="994" w:type="pct"/>
          </w:tcPr>
          <w:p w14:paraId="0F1F0956">
            <w:pPr>
              <w:spacing w:line="400" w:lineRule="exact"/>
              <w:jc w:val="center"/>
              <w:rPr>
                <w:sz w:val="18"/>
                <w:szCs w:val="18"/>
              </w:rPr>
            </w:pPr>
            <w:r>
              <w:rPr>
                <w:sz w:val="18"/>
                <w:szCs w:val="18"/>
              </w:rPr>
              <w:t>NE</w:t>
            </w:r>
          </w:p>
        </w:tc>
        <w:tc>
          <w:tcPr>
            <w:tcW w:w="994" w:type="pct"/>
          </w:tcPr>
          <w:p w14:paraId="38573AB1">
            <w:pPr>
              <w:spacing w:line="400" w:lineRule="exact"/>
              <w:jc w:val="center"/>
              <w:rPr>
                <w:sz w:val="18"/>
                <w:szCs w:val="18"/>
              </w:rPr>
            </w:pPr>
            <w:r>
              <w:rPr>
                <w:sz w:val="18"/>
                <w:szCs w:val="18"/>
              </w:rPr>
              <w:t>45.0</w:t>
            </w:r>
          </w:p>
        </w:tc>
      </w:tr>
      <w:bookmarkEnd w:id="78"/>
    </w:tbl>
    <w:p w14:paraId="4B81E1D7">
      <w:pPr>
        <w:rPr>
          <w:sz w:val="18"/>
          <w:szCs w:val="18"/>
        </w:rPr>
      </w:pPr>
      <w:r>
        <w:rPr>
          <w:rFonts w:hint="eastAsia"/>
          <w:sz w:val="18"/>
          <w:szCs w:val="18"/>
        </w:rPr>
        <w:t>说明：风向逆时针为正，正东为0°，正北为90°，正西为180°，正南为270°。风向字母意义</w:t>
      </w:r>
      <w:r>
        <w:rPr>
          <w:sz w:val="18"/>
          <w:szCs w:val="18"/>
        </w:rPr>
        <w:t>如下图所示</w:t>
      </w:r>
      <w:r>
        <w:rPr>
          <w:rFonts w:hint="eastAsia"/>
          <w:sz w:val="18"/>
          <w:szCs w:val="18"/>
        </w:rPr>
        <w:t>：</w:t>
      </w:r>
    </w:p>
    <w:p w14:paraId="0DA1B9E8">
      <w:pPr>
        <w:jc w:val="cente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30"/>
                    <a:stretch>
                      <a:fillRect/>
                    </a:stretch>
                  </pic:blipFill>
                  <pic:spPr>
                    <a:xfrm>
                      <a:off x="0" y="0"/>
                      <a:ext cx="2736000" cy="2649600"/>
                    </a:xfrm>
                    <a:prstGeom prst="rect">
                      <a:avLst/>
                    </a:prstGeom>
                  </pic:spPr>
                </pic:pic>
              </a:graphicData>
            </a:graphic>
          </wp:inline>
        </w:drawing>
      </w:r>
    </w:p>
    <w:p w14:paraId="01662207">
      <w:pPr>
        <w:pStyle w:val="3"/>
        <w:ind w:firstLine="0" w:firstLineChars="0"/>
        <w:jc w:val="center"/>
        <w:rPr>
          <w:rFonts w:ascii="微软雅黑" w:hAnsi="微软雅黑" w:eastAsia="微软雅黑"/>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风向示意图</w:t>
      </w:r>
      <w:r>
        <w:rPr>
          <w:rFonts w:hint="eastAsia" w:ascii="微软雅黑" w:hAnsi="微软雅黑" w:eastAsia="微软雅黑"/>
        </w:rPr>
        <w:t xml:space="preserve"> </w:t>
      </w:r>
    </w:p>
    <w:p w14:paraId="308B1BF6">
      <w:pPr>
        <w:pStyle w:val="4"/>
      </w:pPr>
      <w:bookmarkStart w:id="79" w:name="_Toc509844750"/>
      <w:bookmarkStart w:id="80" w:name="_Toc6930"/>
      <w:r>
        <w:rPr>
          <w:rFonts w:hint="eastAsia"/>
        </w:rPr>
        <w:t>冬季工况</w:t>
      </w:r>
      <w:bookmarkEnd w:id="79"/>
      <w:bookmarkEnd w:id="80"/>
    </w:p>
    <w:p w14:paraId="0CB16049">
      <w:pPr>
        <w:ind w:firstLine="420" w:firstLineChars="200"/>
        <w:jc w:val="both"/>
      </w:pPr>
      <w:r>
        <w:rPr>
          <w:rFonts w:hint="eastAsia"/>
          <w:lang w:val="en-US"/>
        </w:rPr>
        <w:t>本项目冬季工况的入口边界风速为</w:t>
      </w:r>
      <w:bookmarkStart w:id="81" w:name="冬季入口边界风速"/>
      <w:r>
        <w:rPr>
          <w:rFonts w:hint="eastAsia"/>
        </w:rPr>
        <w:t>4.40</w:t>
      </w:r>
      <w:bookmarkEnd w:id="81"/>
      <w:r>
        <w:t>m/s</w:t>
      </w:r>
      <w:r>
        <w:rPr>
          <w:rFonts w:hint="eastAsia"/>
        </w:rPr>
        <w:t>，风向为</w:t>
      </w:r>
      <w:bookmarkStart w:id="82" w:name="冬季入口边界风向"/>
      <w:r>
        <w:t>NE</w:t>
      </w:r>
      <w:bookmarkEnd w:id="82"/>
      <w:r>
        <w:rPr>
          <w:rFonts w:hint="eastAsia"/>
        </w:rPr>
        <w:t>。</w:t>
      </w:r>
    </w:p>
    <w:p w14:paraId="4A8FF1D3">
      <w:pPr>
        <w:pStyle w:val="5"/>
      </w:pPr>
      <w:bookmarkStart w:id="83" w:name="_Toc509844751"/>
      <w:r>
        <w:rPr>
          <w:rFonts w:hint="eastAsia"/>
        </w:rPr>
        <w:t>风速达标分析</w:t>
      </w:r>
      <w:bookmarkEnd w:id="83"/>
      <w:r>
        <w:rPr>
          <w:rFonts w:hint="eastAsia"/>
        </w:rPr>
        <w:t xml:space="preserve"> </w:t>
      </w:r>
    </w:p>
    <w:p w14:paraId="108D4916">
      <w:pPr>
        <w:pStyle w:val="30"/>
      </w:pPr>
      <w:r>
        <w:rPr>
          <w:rFonts w:hint="eastAsia"/>
        </w:rPr>
        <w:t>下图为整个计算域内风速分布云图，参考图中速度分布可以对项目中建筑布局进行优化。计算域内建筑周围如果有风速超限区域，图中会用速度上限值为5m/s的黑色等值线标示。</w:t>
      </w:r>
    </w:p>
    <w:p w14:paraId="735AD764">
      <w:pPr>
        <w:pStyle w:val="30"/>
      </w:pPr>
      <w:r>
        <w:rPr>
          <w:rFonts w:hint="eastAsia"/>
        </w:rPr>
        <w:t>分析下列图数据，</w:t>
      </w:r>
      <w:bookmarkStart w:id="84" w:name="冬季工况人行区风速分析结论"/>
      <w:bookmarkEnd w:id="84"/>
      <w:r>
        <w:t>未标示出超标区域，可知人行区域风速为最大值为4.85m/s，小于5m/s，</w:t>
      </w:r>
      <w:r>
        <w:rPr>
          <w:color w:val="0000FF"/>
        </w:rPr>
        <w:t>满足</w:t>
      </w:r>
      <w:r>
        <w:t>绿标要求。</w:t>
      </w:r>
    </w:p>
    <w:p w14:paraId="473B19B7">
      <w:pPr>
        <w:pStyle w:val="30"/>
      </w:pPr>
      <w:bookmarkStart w:id="85" w:name="冬季工况人行区风速云图"/>
      <w:bookmarkEnd w:id="85"/>
      <w:r>
        <w:drawing>
          <wp:inline distT="0" distB="0" distL="0" distR="0">
            <wp:extent cx="5667375" cy="3390900"/>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31"/>
                    <a:stretch>
                      <a:fillRect/>
                    </a:stretch>
                  </pic:blipFill>
                  <pic:spPr>
                    <a:xfrm>
                      <a:off x="0" y="0"/>
                      <a:ext cx="5667375" cy="3390900"/>
                    </a:xfrm>
                    <a:prstGeom prst="rect">
                      <a:avLst/>
                    </a:prstGeom>
                  </pic:spPr>
                </pic:pic>
              </a:graphicData>
            </a:graphic>
          </wp:inline>
        </w:drawing>
      </w:r>
    </w:p>
    <w:p w14:paraId="3DE429E1">
      <w:pPr>
        <w:pStyle w:val="30"/>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计算域内-1.5米高度水平面风速云图-冬季</w:t>
      </w:r>
    </w:p>
    <w:p w14:paraId="22A1136D">
      <w:pPr>
        <w:pStyle w:val="3"/>
        <w:ind w:firstLine="420"/>
        <w:rPr>
          <w:rFonts w:ascii="微软雅黑" w:hAnsi="微软雅黑" w:eastAsia="微软雅黑"/>
          <w:lang w:val="en-US"/>
        </w:rPr>
      </w:pPr>
    </w:p>
    <w:p w14:paraId="442BDB59">
      <w:pPr>
        <w:pStyle w:val="5"/>
      </w:pPr>
      <w:bookmarkStart w:id="86" w:name="_Toc509844752"/>
      <w:r>
        <w:rPr>
          <w:rFonts w:hint="eastAsia"/>
        </w:rPr>
        <w:t>风速放大系数达标分析</w:t>
      </w:r>
      <w:bookmarkEnd w:id="86"/>
    </w:p>
    <w:p w14:paraId="61FF7BCF">
      <w:pPr>
        <w:pStyle w:val="3"/>
        <w:ind w:firstLine="420"/>
        <w:jc w:val="left"/>
        <w:rPr>
          <w:rFonts w:ascii="微软雅黑" w:hAnsi="微软雅黑" w:eastAsia="微软雅黑"/>
          <w:lang w:val="en-US"/>
        </w:rPr>
      </w:pPr>
      <w:r>
        <w:rPr>
          <w:rFonts w:hint="eastAsia" w:ascii="微软雅黑" w:hAnsi="微软雅黑" w:eastAsia="微软雅黑"/>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列云图数据，</w:t>
      </w:r>
      <w:bookmarkStart w:id="87" w:name="冬季工况人行区风速放大系数分析结论"/>
      <w:bookmarkEnd w:id="87"/>
      <w:r>
        <w:rPr>
          <w:rFonts w:ascii="微软雅黑" w:hAnsi="微软雅黑" w:eastAsia="微软雅黑"/>
          <w:lang w:val="en-US"/>
        </w:rPr>
        <w:t>图中未标示出风速放大系数超标区域，因此可知人行区域风速放大系数最大值为1.85，小于2，</w:t>
      </w:r>
      <w:r>
        <w:rPr>
          <w:rFonts w:ascii="微软雅黑" w:hAnsi="微软雅黑" w:eastAsia="微软雅黑"/>
          <w:color w:val="0000FF"/>
          <w:lang w:val="en-US"/>
        </w:rPr>
        <w:t>满足</w:t>
      </w:r>
      <w:r>
        <w:rPr>
          <w:rFonts w:ascii="微软雅黑" w:hAnsi="微软雅黑" w:eastAsia="微软雅黑"/>
          <w:lang w:val="en-US"/>
        </w:rPr>
        <w:t>绿标要求。</w:t>
      </w:r>
    </w:p>
    <w:p w14:paraId="682057CA">
      <w:pPr>
        <w:jc w:val="center"/>
        <w:rPr>
          <w:rFonts w:ascii="微软雅黑" w:hAnsi="微软雅黑" w:eastAsia="微软雅黑"/>
        </w:rPr>
      </w:pPr>
      <w:bookmarkStart w:id="88" w:name="冬季工况人行区风速放大系数云图"/>
      <w:bookmarkEnd w:id="88"/>
      <w:r>
        <w:drawing>
          <wp:inline distT="0" distB="0" distL="0" distR="0">
            <wp:extent cx="5667375" cy="339090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32"/>
                    <a:stretch>
                      <a:fillRect/>
                    </a:stretch>
                  </pic:blipFill>
                  <pic:spPr>
                    <a:xfrm>
                      <a:off x="0" y="0"/>
                      <a:ext cx="5667375" cy="3390900"/>
                    </a:xfrm>
                    <a:prstGeom prst="rect">
                      <a:avLst/>
                    </a:prstGeom>
                  </pic:spPr>
                </pic:pic>
              </a:graphicData>
            </a:graphic>
          </wp:inline>
        </w:drawing>
      </w:r>
    </w:p>
    <w:p w14:paraId="0D67D2B6">
      <w:pPr>
        <w:pStyle w:val="3"/>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计算域内-1.5米高处风速放大系数云图</w:t>
      </w:r>
    </w:p>
    <w:p w14:paraId="5E120035">
      <w:pPr>
        <w:pStyle w:val="3"/>
        <w:ind w:firstLine="420"/>
        <w:rPr>
          <w:rFonts w:ascii="微软雅黑" w:hAnsi="微软雅黑" w:eastAsia="微软雅黑"/>
          <w:lang w:val="en-US"/>
        </w:rPr>
      </w:pPr>
    </w:p>
    <w:p w14:paraId="7B0537A5">
      <w:pPr>
        <w:pStyle w:val="3"/>
        <w:ind w:firstLine="360"/>
        <w:rPr>
          <w:rFonts w:ascii="微软雅黑" w:hAnsi="微软雅黑" w:eastAsia="微软雅黑"/>
          <w:sz w:val="18"/>
          <w:szCs w:val="18"/>
          <w:lang w:val="en-US"/>
        </w:rPr>
      </w:pPr>
      <w:r>
        <w:rPr>
          <w:rFonts w:hint="eastAsia" w:ascii="微软雅黑" w:hAnsi="微软雅黑" w:eastAsia="微软雅黑"/>
          <w:sz w:val="18"/>
          <w:szCs w:val="18"/>
          <w:lang w:val="en-US"/>
        </w:rPr>
        <w:t>注：</w:t>
      </w:r>
    </w:p>
    <w:p w14:paraId="581779BD">
      <w:pPr>
        <w:pStyle w:val="3"/>
        <w:ind w:firstLine="360"/>
        <w:rPr>
          <w:rFonts w:ascii="微软雅黑" w:hAnsi="微软雅黑" w:eastAsia="微软雅黑"/>
          <w:sz w:val="18"/>
          <w:szCs w:val="18"/>
          <w:lang w:val="en-US"/>
        </w:rPr>
      </w:pPr>
      <w:r>
        <w:rPr>
          <w:rFonts w:hint="eastAsia" w:ascii="微软雅黑" w:hAnsi="微软雅黑" w:eastAsia="微软雅黑"/>
          <w:sz w:val="18"/>
          <w:szCs w:val="18"/>
          <w:lang w:val="en-US"/>
        </w:rPr>
        <w:t>1）计算域内结果云图中图例上限为软件默认输出，图例上限也可按需求在结果浏览中调整。</w:t>
      </w:r>
    </w:p>
    <w:p w14:paraId="35F5EA6C">
      <w:pPr>
        <w:ind w:firstLine="360" w:firstLineChars="200"/>
        <w:rPr>
          <w:sz w:val="18"/>
          <w:szCs w:val="18"/>
          <w:lang w:val="en-US"/>
        </w:rPr>
      </w:pPr>
      <w:r>
        <w:rPr>
          <w:rFonts w:hint="eastAsia"/>
          <w:sz w:val="18"/>
          <w:szCs w:val="18"/>
          <w:lang w:val="en-US"/>
        </w:rPr>
        <w:t>2）通常将1.5米作为一般人群的参考行走高度，也可酌情调整人行走高度。</w:t>
      </w:r>
      <w:bookmarkStart w:id="89" w:name="_Toc509844757"/>
      <w:bookmarkEnd w:id="89"/>
      <w:bookmarkStart w:id="90" w:name="_Toc509844755"/>
      <w:bookmarkEnd w:id="90"/>
      <w:bookmarkStart w:id="91" w:name="_Toc509844756"/>
      <w:bookmarkEnd w:id="91"/>
      <w:bookmarkStart w:id="92" w:name="_Toc509844754"/>
      <w:bookmarkEnd w:id="92"/>
    </w:p>
    <w:p w14:paraId="0DA37953">
      <w:pPr>
        <w:pStyle w:val="3"/>
        <w:ind w:firstLine="420"/>
        <w:rPr>
          <w:rFonts w:ascii="微软雅黑" w:hAnsi="微软雅黑" w:eastAsia="微软雅黑"/>
          <w:lang w:val="en-US"/>
        </w:rPr>
      </w:pPr>
    </w:p>
    <w:p w14:paraId="69E036B6">
      <w:pPr>
        <w:pStyle w:val="5"/>
      </w:pPr>
      <w:bookmarkStart w:id="93" w:name="_Toc509844753"/>
      <w:r>
        <w:rPr>
          <w:rFonts w:hint="eastAsia"/>
        </w:rPr>
        <w:t>冬季工况风速/风速放大系数达标</w:t>
      </w:r>
      <w:bookmarkEnd w:id="93"/>
      <w:r>
        <w:rPr>
          <w:rFonts w:hint="eastAsia"/>
        </w:rPr>
        <w:t>结果汇总</w:t>
      </w:r>
    </w:p>
    <w:p w14:paraId="475234B3">
      <w:pPr>
        <w:pStyle w:val="3"/>
        <w:ind w:firstLine="420"/>
        <w:rPr>
          <w:rFonts w:ascii="微软雅黑" w:hAnsi="微软雅黑" w:eastAsia="微软雅黑"/>
        </w:rPr>
      </w:pPr>
      <w:r>
        <w:rPr>
          <w:rFonts w:hint="eastAsia" w:ascii="微软雅黑" w:hAnsi="微软雅黑" w:eastAsia="微软雅黑"/>
          <w:lang w:val="en-US"/>
        </w:rPr>
        <w:t>综合上述冬季工况风场中风速和风速放大系数的计算分析，将分析结果汇总如下表：</w:t>
      </w:r>
    </w:p>
    <w:p w14:paraId="58F15720">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冬季工况风速/风速放大系数达标分析汇总</w:t>
      </w:r>
    </w:p>
    <w:tbl>
      <w:tblPr>
        <w:tblStyle w:val="21"/>
        <w:tblW w:w="7791" w:type="dxa"/>
        <w:jc w:val="center"/>
        <w:tblLayout w:type="autofit"/>
        <w:tblCellMar>
          <w:top w:w="0" w:type="dxa"/>
          <w:left w:w="108" w:type="dxa"/>
          <w:bottom w:w="0" w:type="dxa"/>
          <w:right w:w="108" w:type="dxa"/>
        </w:tblCellMar>
      </w:tblPr>
      <w:tblGrid>
        <w:gridCol w:w="2405"/>
        <w:gridCol w:w="1985"/>
        <w:gridCol w:w="2126"/>
        <w:gridCol w:w="1275"/>
      </w:tblGrid>
      <w:tr w14:paraId="2738EDC5">
        <w:tblPrEx>
          <w:tblCellMar>
            <w:top w:w="0" w:type="dxa"/>
            <w:left w:w="108" w:type="dxa"/>
            <w:bottom w:w="0" w:type="dxa"/>
            <w:right w:w="108" w:type="dxa"/>
          </w:tblCellMar>
        </w:tblPrEx>
        <w:trPr>
          <w:trHeight w:val="270" w:hRule="atLeast"/>
          <w:jc w:val="center"/>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78C630">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评价内容</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79AC9339">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标准要求限值</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1E074882">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65CC2B02">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达标判断</w:t>
            </w:r>
          </w:p>
        </w:tc>
      </w:tr>
      <w:tr w14:paraId="28CDB785">
        <w:tblPrEx>
          <w:tblCellMar>
            <w:top w:w="0" w:type="dxa"/>
            <w:left w:w="108" w:type="dxa"/>
            <w:bottom w:w="0" w:type="dxa"/>
            <w:right w:w="108" w:type="dxa"/>
          </w:tblCellMar>
        </w:tblPrEx>
        <w:trPr>
          <w:trHeight w:val="270" w:hRule="atLeast"/>
          <w:jc w:val="center"/>
        </w:trPr>
        <w:tc>
          <w:tcPr>
            <w:tcW w:w="2405" w:type="dxa"/>
            <w:tcBorders>
              <w:top w:val="nil"/>
              <w:left w:val="single" w:color="auto" w:sz="4" w:space="0"/>
              <w:bottom w:val="single" w:color="auto" w:sz="4" w:space="0"/>
              <w:right w:val="single" w:color="auto" w:sz="4" w:space="0"/>
            </w:tcBorders>
            <w:shd w:val="clear" w:color="auto" w:fill="auto"/>
            <w:noWrap/>
            <w:vAlign w:val="center"/>
          </w:tcPr>
          <w:p w14:paraId="5538E221">
            <w:pPr>
              <w:jc w:val="center"/>
              <w:rPr>
                <w:rFonts w:ascii="微软雅黑" w:hAnsi="微软雅黑" w:eastAsia="微软雅黑" w:cs="宋体"/>
                <w:sz w:val="18"/>
                <w:szCs w:val="18"/>
              </w:rPr>
            </w:pPr>
            <w:r>
              <w:rPr>
                <w:rFonts w:hint="eastAsia" w:ascii="微软雅黑" w:hAnsi="微软雅黑" w:eastAsia="微软雅黑" w:cs="宋体"/>
                <w:sz w:val="18"/>
                <w:szCs w:val="18"/>
              </w:rPr>
              <w:t>风速</w:t>
            </w:r>
          </w:p>
        </w:tc>
        <w:tc>
          <w:tcPr>
            <w:tcW w:w="1985" w:type="dxa"/>
            <w:tcBorders>
              <w:top w:val="nil"/>
              <w:left w:val="nil"/>
              <w:bottom w:val="single" w:color="auto" w:sz="4" w:space="0"/>
              <w:right w:val="single" w:color="auto" w:sz="4" w:space="0"/>
            </w:tcBorders>
            <w:shd w:val="clear" w:color="auto" w:fill="auto"/>
            <w:noWrap/>
            <w:vAlign w:val="center"/>
          </w:tcPr>
          <w:p w14:paraId="0000D878">
            <w:pPr>
              <w:jc w:val="center"/>
              <w:rPr>
                <w:rFonts w:ascii="微软雅黑" w:hAnsi="微软雅黑" w:eastAsia="微软雅黑" w:cs="宋体"/>
                <w:sz w:val="18"/>
                <w:szCs w:val="18"/>
              </w:rPr>
            </w:pPr>
            <w:r>
              <w:rPr>
                <w:rFonts w:hint="eastAsia" w:ascii="微软雅黑" w:hAnsi="微软雅黑" w:eastAsia="微软雅黑" w:cs="宋体"/>
                <w:sz w:val="18"/>
                <w:szCs w:val="18"/>
              </w:rPr>
              <w:t>＜</w:t>
            </w:r>
            <w:r>
              <w:rPr>
                <w:rFonts w:ascii="微软雅黑" w:hAnsi="微软雅黑" w:eastAsia="微软雅黑" w:cs="宋体"/>
                <w:sz w:val="18"/>
                <w:szCs w:val="18"/>
              </w:rPr>
              <w:t>5m/s</w:t>
            </w:r>
          </w:p>
        </w:tc>
        <w:tc>
          <w:tcPr>
            <w:tcW w:w="2126" w:type="dxa"/>
            <w:tcBorders>
              <w:top w:val="nil"/>
              <w:left w:val="nil"/>
              <w:bottom w:val="single" w:color="auto" w:sz="4" w:space="0"/>
              <w:right w:val="single" w:color="auto" w:sz="4" w:space="0"/>
            </w:tcBorders>
            <w:shd w:val="clear" w:color="auto" w:fill="auto"/>
            <w:noWrap/>
            <w:vAlign w:val="center"/>
          </w:tcPr>
          <w:p w14:paraId="443417E1">
            <w:pPr>
              <w:spacing w:line="240" w:lineRule="auto"/>
              <w:jc w:val="center"/>
              <w:rPr>
                <w:rFonts w:ascii="微软雅黑" w:hAnsi="微软雅黑" w:eastAsia="微软雅黑" w:cs="宋体"/>
                <w:color w:val="000000"/>
                <w:sz w:val="18"/>
                <w:szCs w:val="18"/>
                <w:lang w:val="en-US"/>
              </w:rPr>
            </w:pPr>
            <w:bookmarkStart w:id="94" w:name="冬季工况风速是否有超限区域"/>
            <w:r>
              <w:rPr>
                <w:rFonts w:hint="eastAsia" w:ascii="微软雅黑" w:hAnsi="微软雅黑" w:eastAsia="微软雅黑" w:cs="宋体"/>
                <w:color w:val="000000"/>
                <w:sz w:val="18"/>
                <w:szCs w:val="18"/>
                <w:lang w:val="en-US"/>
              </w:rPr>
              <w:t>否</w:t>
            </w:r>
            <w:bookmarkEnd w:id="94"/>
          </w:p>
        </w:tc>
        <w:tc>
          <w:tcPr>
            <w:tcW w:w="1275" w:type="dxa"/>
            <w:tcBorders>
              <w:top w:val="nil"/>
              <w:left w:val="nil"/>
              <w:bottom w:val="single" w:color="auto" w:sz="4" w:space="0"/>
              <w:right w:val="single" w:color="auto" w:sz="4" w:space="0"/>
            </w:tcBorders>
            <w:shd w:val="clear" w:color="auto" w:fill="auto"/>
            <w:noWrap/>
            <w:vAlign w:val="center"/>
          </w:tcPr>
          <w:p w14:paraId="480A982D">
            <w:pPr>
              <w:spacing w:line="240" w:lineRule="auto"/>
              <w:jc w:val="center"/>
              <w:rPr>
                <w:rFonts w:ascii="微软雅黑" w:hAnsi="微软雅黑" w:eastAsia="微软雅黑" w:cs="宋体"/>
                <w:color w:val="000000"/>
                <w:sz w:val="18"/>
                <w:szCs w:val="18"/>
                <w:lang w:val="en-US"/>
              </w:rPr>
            </w:pPr>
            <w:bookmarkStart w:id="95" w:name="冬季工况风速达标判断"/>
            <w:r>
              <w:rPr>
                <w:rFonts w:hint="eastAsia" w:ascii="微软雅黑" w:hAnsi="微软雅黑" w:eastAsia="微软雅黑" w:cs="宋体"/>
                <w:color w:val="000000"/>
                <w:sz w:val="18"/>
                <w:szCs w:val="18"/>
                <w:lang w:val="en-US"/>
              </w:rPr>
              <w:t>是</w:t>
            </w:r>
            <w:bookmarkEnd w:id="95"/>
          </w:p>
        </w:tc>
      </w:tr>
      <w:tr w14:paraId="3519568F">
        <w:tblPrEx>
          <w:tblCellMar>
            <w:top w:w="0" w:type="dxa"/>
            <w:left w:w="108" w:type="dxa"/>
            <w:bottom w:w="0" w:type="dxa"/>
            <w:right w:w="108" w:type="dxa"/>
          </w:tblCellMar>
        </w:tblPrEx>
        <w:trPr>
          <w:trHeight w:val="270" w:hRule="atLeast"/>
          <w:jc w:val="center"/>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54A7D9">
            <w:pPr>
              <w:jc w:val="center"/>
              <w:rPr>
                <w:rFonts w:ascii="微软雅黑" w:hAnsi="微软雅黑" w:eastAsia="微软雅黑" w:cs="宋体"/>
                <w:sz w:val="18"/>
                <w:szCs w:val="18"/>
              </w:rPr>
            </w:pPr>
            <w:r>
              <w:rPr>
                <w:rFonts w:hint="eastAsia" w:ascii="微软雅黑" w:hAnsi="微软雅黑" w:eastAsia="微软雅黑" w:cs="宋体"/>
                <w:sz w:val="18"/>
                <w:szCs w:val="18"/>
              </w:rPr>
              <w:t>风速放大系数</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0C038AE3">
            <w:pPr>
              <w:jc w:val="center"/>
              <w:rPr>
                <w:rFonts w:ascii="微软雅黑" w:hAnsi="微软雅黑" w:eastAsia="微软雅黑" w:cs="宋体"/>
                <w:sz w:val="18"/>
                <w:szCs w:val="18"/>
              </w:rPr>
            </w:pPr>
            <w:r>
              <w:rPr>
                <w:rFonts w:hint="eastAsia" w:ascii="微软雅黑" w:hAnsi="微软雅黑" w:eastAsia="微软雅黑" w:cs="宋体"/>
                <w:sz w:val="18"/>
                <w:szCs w:val="18"/>
              </w:rPr>
              <w:t>＜</w:t>
            </w:r>
            <w:r>
              <w:rPr>
                <w:rFonts w:ascii="微软雅黑" w:hAnsi="微软雅黑" w:eastAsia="微软雅黑" w:cs="宋体"/>
                <w:sz w:val="18"/>
                <w:szCs w:val="18"/>
              </w:rPr>
              <w:t>2</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0725C509">
            <w:pPr>
              <w:spacing w:line="240" w:lineRule="auto"/>
              <w:jc w:val="center"/>
              <w:rPr>
                <w:rFonts w:ascii="微软雅黑" w:hAnsi="微软雅黑" w:eastAsia="微软雅黑" w:cs="宋体"/>
                <w:color w:val="000000"/>
                <w:sz w:val="18"/>
                <w:szCs w:val="18"/>
                <w:lang w:val="en-US"/>
              </w:rPr>
            </w:pPr>
            <w:bookmarkStart w:id="96" w:name="冬季工况风速放大系数是否有超限区域"/>
            <w:r>
              <w:rPr>
                <w:rFonts w:hint="eastAsia" w:ascii="微软雅黑" w:hAnsi="微软雅黑" w:eastAsia="微软雅黑" w:cs="宋体"/>
                <w:color w:val="000000"/>
                <w:sz w:val="18"/>
                <w:szCs w:val="18"/>
                <w:lang w:val="en-US"/>
              </w:rPr>
              <w:t>否</w:t>
            </w:r>
            <w:bookmarkEnd w:id="96"/>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00C13227">
            <w:pPr>
              <w:spacing w:line="240" w:lineRule="auto"/>
              <w:jc w:val="center"/>
              <w:rPr>
                <w:rFonts w:ascii="微软雅黑" w:hAnsi="微软雅黑" w:eastAsia="微软雅黑" w:cs="宋体"/>
                <w:color w:val="000000"/>
                <w:sz w:val="18"/>
                <w:szCs w:val="18"/>
                <w:lang w:val="en-US"/>
              </w:rPr>
            </w:pPr>
            <w:bookmarkStart w:id="97" w:name="冬季工况风速放大系数达标判断"/>
            <w:r>
              <w:rPr>
                <w:rFonts w:hint="eastAsia" w:ascii="微软雅黑" w:hAnsi="微软雅黑" w:eastAsia="微软雅黑" w:cs="宋体"/>
                <w:color w:val="000000"/>
                <w:sz w:val="18"/>
                <w:szCs w:val="18"/>
                <w:lang w:val="en-US"/>
              </w:rPr>
              <w:t>是</w:t>
            </w:r>
            <w:bookmarkEnd w:id="97"/>
          </w:p>
        </w:tc>
      </w:tr>
    </w:tbl>
    <w:p w14:paraId="76B66AF1">
      <w:pPr>
        <w:rPr>
          <w:rFonts w:ascii="微软雅黑" w:hAnsi="微软雅黑" w:eastAsia="微软雅黑"/>
        </w:rPr>
      </w:pPr>
    </w:p>
    <w:p w14:paraId="64F72D5D">
      <w:pPr>
        <w:pStyle w:val="5"/>
      </w:pPr>
      <w:r>
        <w:rPr>
          <w:rFonts w:hint="eastAsia"/>
        </w:rPr>
        <w:t>建筑迎风面和背风面风压分析</w:t>
      </w:r>
    </w:p>
    <w:p w14:paraId="41B961DA">
      <w:pPr>
        <w:pStyle w:val="3"/>
        <w:ind w:firstLine="420"/>
        <w:rPr>
          <w:rFonts w:ascii="微软雅黑" w:hAnsi="微软雅黑" w:eastAsia="微软雅黑"/>
          <w:lang w:val="en-US"/>
        </w:rPr>
      </w:pPr>
      <w:r>
        <w:rPr>
          <w:rFonts w:hint="eastAsia" w:ascii="微软雅黑" w:hAnsi="微软雅黑" w:eastAsia="微软雅黑"/>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14:paraId="5819114B">
      <w:pPr>
        <w:pStyle w:val="6"/>
        <w:rPr>
          <w:lang w:val="en-US"/>
        </w:rPr>
      </w:pPr>
      <w:r>
        <w:rPr>
          <w:rFonts w:hint="eastAsia"/>
          <w:lang w:val="en-US"/>
        </w:rPr>
        <w:t>建筑迎风面和背风面风压差计算方法</w:t>
      </w:r>
    </w:p>
    <w:p w14:paraId="60275CE4">
      <w:pPr>
        <w:pStyle w:val="3"/>
        <w:spacing w:after="156" w:afterLines="50"/>
        <w:ind w:firstLine="420"/>
        <w:rPr>
          <w:rFonts w:ascii="微软雅黑" w:hAnsi="微软雅黑" w:eastAsia="微软雅黑"/>
          <w:lang w:val="en-US"/>
        </w:rPr>
      </w:pPr>
      <w:r>
        <w:rPr>
          <w:rFonts w:hint="eastAsia" w:ascii="微软雅黑" w:hAnsi="微软雅黑" w:eastAsia="微软雅黑"/>
          <w:lang w:val="en-US"/>
        </w:rPr>
        <w:t>本项目采用面积加权法对建筑迎风面和背风面对应门窗的风压值进行计算，最后获得迎背风面门窗的风压差值。下面将以一个示意建筑为例说明具体计算过程。</w:t>
      </w:r>
    </w:p>
    <w:p w14:paraId="7BBEFEF1">
      <w:pPr>
        <w:pStyle w:val="3"/>
        <w:ind w:firstLine="0" w:firstLineChars="0"/>
        <w:jc w:val="center"/>
        <w:rPr>
          <w:rFonts w:ascii="微软雅黑" w:hAnsi="微软雅黑" w:eastAsia="微软雅黑"/>
          <w:lang w:val="en-US"/>
        </w:rPr>
      </w:pPr>
      <w:r>
        <w:rPr>
          <w:rFonts w:ascii="微软雅黑" w:hAnsi="微软雅黑" w:eastAsia="微软雅黑"/>
          <w:lang w:val="en-US"/>
        </w:rPr>
        <w:drawing>
          <wp:inline distT="0" distB="0" distL="0" distR="0">
            <wp:extent cx="3657600" cy="2924175"/>
            <wp:effectExtent l="0" t="0" r="0" b="9525"/>
            <wp:docPr id="8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2"/>
                    <pic:cNvPicPr>
                      <a:picLocks noChangeAspect="1" noChangeArrowheads="1"/>
                    </pic:cNvPicPr>
                  </pic:nvPicPr>
                  <pic:blipFill>
                    <a:blip r:embed="rId33">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14:paraId="37C30371">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 xml:space="preserve"> 示意建筑平面图</w:t>
      </w:r>
    </w:p>
    <w:p w14:paraId="464ABFDD">
      <w:pPr>
        <w:pStyle w:val="3"/>
        <w:ind w:firstLine="420"/>
        <w:rPr>
          <w:rFonts w:ascii="微软雅黑" w:hAnsi="微软雅黑" w:eastAsia="微软雅黑"/>
          <w:lang w:val="en-US"/>
        </w:rPr>
      </w:pPr>
      <w:r>
        <w:rPr>
          <w:rFonts w:hint="eastAsia" w:ascii="微软雅黑" w:hAnsi="微软雅黑" w:eastAsia="微软雅黑"/>
          <w:lang w:val="en-US"/>
        </w:rPr>
        <w:t>以上图建筑第二层为例，迎风面窗户C1，C2，C3的平均风压值，通过每个窗户的平均风压和其窗户面积进行加权平均计算， 如下式：</w:t>
      </w:r>
    </w:p>
    <w:tbl>
      <w:tblPr>
        <w:tblStyle w:val="21"/>
        <w:tblW w:w="8359" w:type="dxa"/>
        <w:tblInd w:w="0" w:type="dxa"/>
        <w:tblLayout w:type="autofit"/>
        <w:tblCellMar>
          <w:top w:w="0" w:type="dxa"/>
          <w:left w:w="108" w:type="dxa"/>
          <w:bottom w:w="0" w:type="dxa"/>
          <w:right w:w="108" w:type="dxa"/>
        </w:tblCellMar>
      </w:tblPr>
      <w:tblGrid>
        <w:gridCol w:w="5524"/>
        <w:gridCol w:w="2835"/>
      </w:tblGrid>
      <w:tr w14:paraId="5AFE6D01">
        <w:tblPrEx>
          <w:tblCellMar>
            <w:top w:w="0" w:type="dxa"/>
            <w:left w:w="108" w:type="dxa"/>
            <w:bottom w:w="0" w:type="dxa"/>
            <w:right w:w="108" w:type="dxa"/>
          </w:tblCellMar>
        </w:tblPrEx>
        <w:tc>
          <w:tcPr>
            <w:tcW w:w="5524" w:type="dxa"/>
            <w:shd w:val="clear" w:color="auto" w:fill="auto"/>
          </w:tcPr>
          <w:p w14:paraId="0E12A202">
            <w:pPr>
              <w:pStyle w:val="3"/>
              <w:ind w:firstLine="0" w:firstLineChars="0"/>
              <w:jc w:val="center"/>
              <w:rPr>
                <w:rFonts w:ascii="微软雅黑" w:hAnsi="微软雅黑" w:eastAsia="微软雅黑"/>
                <w:lang w:val="en-US"/>
              </w:rPr>
            </w:pPr>
            <m:oMathPara>
              <m:oMathParaPr>
                <m:jc m:val="center"/>
              </m:oMathParaPr>
              <m:oMath>
                <m:sSub>
                  <m:sSubPr>
                    <m:ctrlPr>
                      <w:rPr>
                        <w:rFonts w:ascii="Cambria Math" w:hAnsi="Cambria Math" w:eastAsia="微软雅黑"/>
                        <w:lang w:val="en-US"/>
                      </w:rPr>
                    </m:ctrlPr>
                  </m:sSubPr>
                  <m:e>
                    <m:r>
                      <m:rPr/>
                      <w:rPr>
                        <w:rFonts w:ascii="Cambria Math" w:hAnsi="Cambria Math" w:eastAsia="微软雅黑"/>
                        <w:lang w:val="en-US"/>
                      </w:rPr>
                      <m:t>P</m:t>
                    </m:r>
                    <m:ctrlPr>
                      <w:rPr>
                        <w:rFonts w:ascii="Cambria Math" w:hAnsi="Cambria Math" w:eastAsia="微软雅黑"/>
                        <w:lang w:val="en-US"/>
                      </w:rPr>
                    </m:ctrlPr>
                  </m:e>
                  <m:sub>
                    <m:r>
                      <m:rPr>
                        <m:sty m:val="p"/>
                      </m:rPr>
                      <w:rPr>
                        <w:rFonts w:ascii="Cambria Math" w:hAnsi="Cambria Math" w:eastAsia="微软雅黑"/>
                        <w:lang w:val="en-US"/>
                      </w:rPr>
                      <m:t>Up</m:t>
                    </m:r>
                    <m:ctrlPr>
                      <w:rPr>
                        <w:rFonts w:ascii="Cambria Math" w:hAnsi="Cambria Math" w:eastAsia="微软雅黑"/>
                        <w:lang w:val="en-US"/>
                      </w:rPr>
                    </m:ctrlPr>
                  </m:sub>
                </m:sSub>
                <m:r>
                  <m:rPr/>
                  <w:rPr>
                    <w:rFonts w:ascii="Cambria Math" w:hAnsi="Cambria Math" w:eastAsia="微软雅黑"/>
                    <w:lang w:val="en-US"/>
                  </w:rPr>
                  <m:t>=</m:t>
                </m:r>
                <m:f>
                  <m:fPr>
                    <m:ctrlPr>
                      <w:rPr>
                        <w:rFonts w:ascii="Cambria Math" w:hAnsi="Cambria Math" w:eastAsia="微软雅黑"/>
                        <w:lang w:val="en-US"/>
                      </w:rPr>
                    </m:ctrlPr>
                  </m:fPr>
                  <m:num>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w:rPr>
                            <w:rFonts w:ascii="Cambria Math" w:hAnsi="Cambria Math" w:eastAsia="微软雅黑"/>
                            <w:lang w:val="en-US"/>
                          </w:rPr>
                          <m:t>C</m:t>
                        </m:r>
                        <m:r>
                          <m:rPr>
                            <m:sty m:val="p"/>
                          </m:rPr>
                          <w:rPr>
                            <w:rFonts w:ascii="Cambria Math" w:hAnsi="Cambria Math" w:eastAsia="微软雅黑"/>
                            <w:lang w:val="en-US"/>
                          </w:rPr>
                          <m:t>2</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C2</m:t>
                        </m:r>
                        <m:ctrlPr>
                          <w:rPr>
                            <w:rFonts w:ascii="Cambria Math" w:hAnsi="Cambria Math" w:eastAsia="微软雅黑"/>
                            <w:i/>
                            <w:lang w:val="en-US"/>
                          </w:rPr>
                        </m:ctrlPr>
                      </m:sub>
                    </m:sSub>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w:rPr>
                            <w:rFonts w:ascii="Cambria Math" w:hAnsi="Cambria Math" w:eastAsia="微软雅黑"/>
                            <w:lang w:val="en-US"/>
                          </w:rPr>
                          <m:t>C</m:t>
                        </m:r>
                        <m:r>
                          <m:rPr>
                            <m:sty m:val="p"/>
                          </m:rPr>
                          <w:rPr>
                            <w:rFonts w:ascii="Cambria Math" w:hAnsi="Cambria Math" w:eastAsia="微软雅黑"/>
                            <w:lang w:val="en-US"/>
                          </w:rPr>
                          <m:t xml:space="preserve">3 </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C3</m:t>
                        </m:r>
                        <m:ctrlPr>
                          <w:rPr>
                            <w:rFonts w:ascii="Cambria Math" w:hAnsi="Cambria Math" w:eastAsia="微软雅黑"/>
                            <w:i/>
                            <w:lang w:val="en-US"/>
                          </w:rPr>
                        </m:ctrlPr>
                      </m:sub>
                    </m:sSub>
                    <m:ctrlPr>
                      <w:rPr>
                        <w:rFonts w:ascii="Cambria Math" w:hAnsi="Cambria Math" w:eastAsia="微软雅黑"/>
                        <w:lang w:val="en-US"/>
                      </w:rPr>
                    </m:ctrlPr>
                  </m:num>
                  <m:den>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C2</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C3</m:t>
                        </m:r>
                        <m:ctrlPr>
                          <w:rPr>
                            <w:rFonts w:ascii="Cambria Math" w:hAnsi="Cambria Math" w:eastAsia="微软雅黑"/>
                            <w:i/>
                            <w:lang w:val="en-US"/>
                          </w:rPr>
                        </m:ctrlPr>
                      </m:sub>
                    </m:sSub>
                    <m:ctrlPr>
                      <w:rPr>
                        <w:rFonts w:ascii="Cambria Math" w:hAnsi="Cambria Math" w:eastAsia="微软雅黑"/>
                        <w:lang w:val="en-US"/>
                      </w:rPr>
                    </m:ctrlPr>
                  </m:den>
                </m:f>
              </m:oMath>
            </m:oMathPara>
          </w:p>
        </w:tc>
        <w:tc>
          <w:tcPr>
            <w:tcW w:w="2835" w:type="dxa"/>
            <w:shd w:val="clear" w:color="auto" w:fill="auto"/>
            <w:vAlign w:val="center"/>
          </w:tcPr>
          <w:p w14:paraId="5CADFB74">
            <w:pPr>
              <w:pStyle w:val="3"/>
              <w:ind w:firstLine="0" w:firstLineChars="0"/>
              <w:jc w:val="right"/>
              <w:rPr>
                <w:rFonts w:ascii="微软雅黑" w:hAnsi="微软雅黑" w:eastAsia="微软雅黑"/>
                <w:lang w:val="en-US"/>
              </w:rPr>
            </w:pPr>
            <w:r>
              <w:rPr>
                <w:rFonts w:hint="eastAsia" w:ascii="微软雅黑" w:hAnsi="微软雅黑" w:eastAsia="微软雅黑"/>
                <w:lang w:val="en-US"/>
              </w:rPr>
              <w:t>（</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5.2</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tc>
      </w:tr>
    </w:tbl>
    <w:p w14:paraId="66B0C42C">
      <w:pPr>
        <w:pStyle w:val="3"/>
        <w:ind w:firstLine="420"/>
        <w:rPr>
          <w:rFonts w:ascii="微软雅黑" w:hAnsi="微软雅黑" w:eastAsia="微软雅黑"/>
          <w:sz w:val="24"/>
          <w:lang w:val="en-US"/>
        </w:rPr>
      </w:pPr>
      <w:r>
        <w:rPr>
          <w:rFonts w:hint="eastAsia" w:ascii="微软雅黑" w:hAnsi="微软雅黑" w:eastAsia="微软雅黑"/>
          <w:lang w:val="en-US"/>
        </w:rPr>
        <w:t>式中：</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C1</m:t>
            </m:r>
            <m:ctrlPr>
              <w:rPr>
                <w:rFonts w:ascii="Cambria Math" w:hAnsi="Cambria Math" w:eastAsia="微软雅黑"/>
                <w:i/>
                <w:sz w:val="24"/>
                <w:lang w:val="en-US"/>
              </w:rPr>
            </m:ctrlPr>
          </m:sub>
        </m:sSub>
      </m:oMath>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C2</m:t>
            </m:r>
            <m:ctrlPr>
              <w:rPr>
                <w:rFonts w:ascii="Cambria Math" w:hAnsi="Cambria Math" w:eastAsia="微软雅黑"/>
                <w:i/>
                <w:sz w:val="24"/>
                <w:lang w:val="en-US"/>
              </w:rPr>
            </m:ctrlPr>
          </m:sub>
        </m:sSub>
      </m:oMath>
      <w:r>
        <w:rPr>
          <w:rFonts w:hint="eastAsia" w:ascii="微软雅黑" w:hAnsi="微软雅黑" w:eastAsia="微软雅黑"/>
          <w:sz w:val="24"/>
          <w:lang w:val="en-US"/>
        </w:rPr>
        <w:t xml:space="preserve">和 </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C3</m:t>
            </m:r>
            <m:ctrlPr>
              <w:rPr>
                <w:rFonts w:ascii="Cambria Math" w:hAnsi="Cambria Math" w:eastAsia="微软雅黑"/>
                <w:i/>
                <w:sz w:val="24"/>
                <w:lang w:val="en-US"/>
              </w:rPr>
            </m:ctrlPr>
          </m:sub>
        </m:sSub>
      </m:oMath>
      <w:r>
        <w:rPr>
          <w:rFonts w:hint="eastAsia" w:ascii="微软雅黑" w:hAnsi="微软雅黑" w:eastAsia="微软雅黑"/>
          <w:lang w:val="en-US"/>
        </w:rPr>
        <w:t>分别为窗户C1，C2，C3的平均风压值，而</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C1</m:t>
            </m:r>
            <m:ctrlPr>
              <w:rPr>
                <w:rFonts w:ascii="Cambria Math" w:hAnsi="Cambria Math" w:eastAsia="微软雅黑"/>
                <w:i/>
                <w:sz w:val="24"/>
                <w:lang w:val="en-US"/>
              </w:rPr>
            </m:ctrlPr>
          </m:sub>
        </m:sSub>
      </m:oMath>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C2</m:t>
            </m:r>
            <m:ctrlPr>
              <w:rPr>
                <w:rFonts w:ascii="Cambria Math" w:hAnsi="Cambria Math" w:eastAsia="微软雅黑"/>
                <w:i/>
                <w:sz w:val="24"/>
                <w:lang w:val="en-US"/>
              </w:rPr>
            </m:ctrlPr>
          </m:sub>
        </m:sSub>
      </m:oMath>
      <w:r>
        <w:rPr>
          <w:rFonts w:hint="eastAsia" w:ascii="微软雅黑" w:hAnsi="微软雅黑" w:eastAsia="微软雅黑"/>
          <w:sz w:val="24"/>
          <w:lang w:val="en-US"/>
        </w:rPr>
        <w:t xml:space="preserve">和 </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C3</m:t>
            </m:r>
            <m:ctrlPr>
              <w:rPr>
                <w:rFonts w:ascii="Cambria Math" w:hAnsi="Cambria Math" w:eastAsia="微软雅黑"/>
                <w:i/>
                <w:sz w:val="24"/>
                <w:lang w:val="en-US"/>
              </w:rPr>
            </m:ctrlPr>
          </m:sub>
        </m:sSub>
      </m:oMath>
      <w:r>
        <w:rPr>
          <w:rFonts w:hint="eastAsia" w:ascii="微软雅黑" w:hAnsi="微软雅黑" w:eastAsia="微软雅黑"/>
          <w:lang w:val="en-US"/>
        </w:rPr>
        <w:t>为各个窗户的面积</w:t>
      </w:r>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up</m:t>
            </m:r>
            <m:ctrlPr>
              <w:rPr>
                <w:rFonts w:ascii="Cambria Math" w:hAnsi="Cambria Math" w:eastAsia="微软雅黑"/>
                <w:i/>
                <w:sz w:val="24"/>
                <w:lang w:val="en-US"/>
              </w:rPr>
            </m:ctrlPr>
          </m:sub>
        </m:sSub>
      </m:oMath>
      <w:r>
        <w:rPr>
          <w:rFonts w:hint="eastAsia" w:ascii="微软雅黑" w:hAnsi="微软雅黑" w:eastAsia="微软雅黑"/>
          <w:lang w:val="en-US"/>
        </w:rPr>
        <w:t>为迎风面窗户平均风压。</w:t>
      </w:r>
    </w:p>
    <w:p w14:paraId="7C9AC102">
      <w:pPr>
        <w:pStyle w:val="3"/>
        <w:spacing w:after="156" w:afterLines="50"/>
        <w:ind w:firstLine="420"/>
        <w:rPr>
          <w:rFonts w:ascii="微软雅黑" w:hAnsi="微软雅黑" w:eastAsia="微软雅黑"/>
          <w:lang w:val="en-US"/>
        </w:rPr>
      </w:pPr>
      <w:r>
        <w:rPr>
          <w:rFonts w:hint="eastAsia" w:ascii="微软雅黑" w:hAnsi="微软雅黑" w:eastAsia="微软雅黑"/>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2A3C3EC6">
      <w:pPr>
        <w:pStyle w:val="6"/>
      </w:pPr>
      <w:r>
        <w:rPr>
          <w:rFonts w:hint="eastAsia"/>
        </w:rPr>
        <w:t>建筑迎风面和背风面风压云图</w:t>
      </w:r>
    </w:p>
    <w:p w14:paraId="6B5EBFB2">
      <w:pPr>
        <w:jc w:val="center"/>
        <w:rPr>
          <w:rFonts w:ascii="微软雅黑" w:hAnsi="微软雅黑" w:eastAsia="微软雅黑"/>
          <w:lang w:val="en-US"/>
        </w:rPr>
      </w:pPr>
      <w:bookmarkStart w:id="98" w:name="冬季工况建筑迎风面风压云图"/>
      <w:bookmarkEnd w:id="98"/>
      <w:r>
        <w:drawing>
          <wp:inline distT="0" distB="0" distL="0" distR="0">
            <wp:extent cx="5667375" cy="335280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34"/>
                    <a:stretch>
                      <a:fillRect/>
                    </a:stretch>
                  </pic:blipFill>
                  <pic:spPr>
                    <a:xfrm>
                      <a:off x="0" y="0"/>
                      <a:ext cx="5667375" cy="3352800"/>
                    </a:xfrm>
                    <a:prstGeom prst="rect">
                      <a:avLst/>
                    </a:prstGeom>
                  </pic:spPr>
                </pic:pic>
              </a:graphicData>
            </a:graphic>
          </wp:inline>
        </w:drawing>
      </w:r>
    </w:p>
    <w:p w14:paraId="3F117B46">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建筑迎风面风压云图</w:t>
      </w:r>
    </w:p>
    <w:p w14:paraId="6085D57F">
      <w:pPr>
        <w:jc w:val="center"/>
        <w:rPr>
          <w:rFonts w:ascii="微软雅黑" w:hAnsi="微软雅黑" w:eastAsia="微软雅黑"/>
        </w:rPr>
      </w:pPr>
      <w:bookmarkStart w:id="99" w:name="冬季工况建筑背风面风压云图"/>
      <w:bookmarkEnd w:id="99"/>
      <w:r>
        <w:drawing>
          <wp:inline distT="0" distB="0" distL="0" distR="0">
            <wp:extent cx="5667375" cy="336232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35"/>
                    <a:stretch>
                      <a:fillRect/>
                    </a:stretch>
                  </pic:blipFill>
                  <pic:spPr>
                    <a:xfrm>
                      <a:off x="0" y="0"/>
                      <a:ext cx="5667375" cy="3362325"/>
                    </a:xfrm>
                    <a:prstGeom prst="rect">
                      <a:avLst/>
                    </a:prstGeom>
                  </pic:spPr>
                </pic:pic>
              </a:graphicData>
            </a:graphic>
          </wp:inline>
        </w:drawing>
      </w:r>
    </w:p>
    <w:p w14:paraId="7B61B34A">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建筑背风面风压云图</w:t>
      </w:r>
    </w:p>
    <w:p w14:paraId="645FE01C">
      <w:pPr>
        <w:pStyle w:val="6"/>
      </w:pPr>
      <w:bookmarkStart w:id="100" w:name="建筑迎风面和背风面风压差计算结果"/>
      <w:r>
        <w:rPr>
          <w:rFonts w:hint="eastAsia"/>
        </w:rPr>
        <w:t>建筑迎风面和背风面风压差计算结果</w:t>
      </w:r>
    </w:p>
    <w:p w14:paraId="2F9E95FC">
      <w:pPr>
        <w:jc w:val="center"/>
        <w:rPr>
          <w:sz w:val="18"/>
          <w:szCs w:val="18"/>
        </w:rPr>
      </w:pPr>
      <w:bookmarkStart w:id="101" w:name="建筑迎背风面风压差表"/>
      <w:r>
        <w:rPr>
          <w:rFonts w:hint="eastAsia"/>
          <w:sz w:val="18"/>
          <w:szCs w:val="18"/>
        </w:rPr>
        <w:t>表</w:t>
      </w:r>
      <w:r>
        <w:rPr>
          <w:sz w:val="18"/>
          <w:szCs w:val="18"/>
        </w:rPr>
        <w:t xml:space="preserve"> </w:t>
      </w:r>
      <w:r>
        <w:rPr>
          <w:sz w:val="18"/>
          <w:szCs w:val="18"/>
        </w:rPr>
        <w:fldChar w:fldCharType="begin"/>
      </w:r>
      <w:r>
        <w:rPr>
          <w:sz w:val="18"/>
          <w:szCs w:val="18"/>
        </w:rPr>
        <w:instrText xml:space="preserve"> STYLEREF 2 \s </w:instrText>
      </w:r>
      <w:r>
        <w:rPr>
          <w:sz w:val="18"/>
          <w:szCs w:val="18"/>
        </w:rPr>
        <w:fldChar w:fldCharType="separate"/>
      </w:r>
      <w:r>
        <w:rPr>
          <w:sz w:val="18"/>
          <w:szCs w:val="18"/>
        </w:rPr>
        <w:t>5.2</w:t>
      </w:r>
      <w:r>
        <w:rPr>
          <w:sz w:val="18"/>
          <w:szCs w:val="18"/>
        </w:rPr>
        <w:fldChar w:fldCharType="end"/>
      </w:r>
      <w:r>
        <w:rPr>
          <w:sz w:val="18"/>
          <w:szCs w:val="18"/>
        </w:rPr>
        <w:noBreakHyphen/>
      </w:r>
      <w:r>
        <w:rPr>
          <w:sz w:val="18"/>
          <w:szCs w:val="18"/>
        </w:rPr>
        <w:fldChar w:fldCharType="begin"/>
      </w:r>
      <w:r>
        <w:rPr>
          <w:sz w:val="18"/>
          <w:szCs w:val="18"/>
        </w:rPr>
        <w:instrText xml:space="preserve"> SEQ </w:instrText>
      </w:r>
      <w:r>
        <w:rPr>
          <w:rFonts w:hint="eastAsia"/>
          <w:sz w:val="18"/>
          <w:szCs w:val="18"/>
        </w:rPr>
        <w:instrText xml:space="preserve">表</w:instrText>
      </w:r>
      <w:r>
        <w:rPr>
          <w:sz w:val="18"/>
          <w:szCs w:val="18"/>
        </w:rPr>
        <w:instrText xml:space="preserve"> \* ARABIC \s 2 </w:instrText>
      </w:r>
      <w:r>
        <w:rPr>
          <w:sz w:val="18"/>
          <w:szCs w:val="18"/>
        </w:rPr>
        <w:fldChar w:fldCharType="separate"/>
      </w:r>
      <w:r>
        <w:rPr>
          <w:sz w:val="18"/>
          <w:szCs w:val="18"/>
        </w:rPr>
        <w:t>2</w:t>
      </w:r>
      <w:r>
        <w:rPr>
          <w:sz w:val="18"/>
          <w:szCs w:val="18"/>
        </w:rPr>
        <w:fldChar w:fldCharType="end"/>
      </w:r>
      <w:r>
        <w:rPr>
          <w:sz w:val="18"/>
          <w:szCs w:val="18"/>
        </w:rPr>
        <w:t xml:space="preserve">  </w:t>
      </w:r>
      <w:r>
        <w:rPr>
          <w:rFonts w:hint="eastAsia"/>
          <w:sz w:val="18"/>
          <w:szCs w:val="18"/>
        </w:rPr>
        <w:t>建筑</w:t>
      </w:r>
      <w:r>
        <w:rPr>
          <w:sz w:val="18"/>
          <w:szCs w:val="18"/>
        </w:rPr>
        <w:t>-</w:t>
      </w:r>
      <w:bookmarkStart w:id="102" w:name="建筑迎背风面风压差表_建筑名"/>
      <w:r>
        <w:rPr>
          <w:sz w:val="18"/>
          <w:szCs w:val="18"/>
        </w:rPr>
        <w:t>单体</w:t>
      </w:r>
      <w:bookmarkEnd w:id="102"/>
      <w:r>
        <w:rPr>
          <w:rFonts w:hint="eastAsia"/>
          <w:sz w:val="18"/>
          <w:szCs w:val="18"/>
        </w:rPr>
        <w:t>迎背风面窗平均风压差表</w:t>
      </w:r>
    </w:p>
    <w:tbl>
      <w:tblPr>
        <w:tblStyle w:val="21"/>
        <w:tblW w:w="822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261"/>
        <w:gridCol w:w="2142"/>
        <w:gridCol w:w="2268"/>
        <w:gridCol w:w="2551"/>
      </w:tblGrid>
      <w:tr w14:paraId="503A3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shd w:val="clear" w:color="auto" w:fill="E6E6E6"/>
            <w:vAlign w:val="center"/>
          </w:tcPr>
          <w:p w14:paraId="4FD93B98">
            <w:pPr>
              <w:spacing w:line="400" w:lineRule="exact"/>
              <w:jc w:val="center"/>
              <w:rPr>
                <w:sz w:val="18"/>
                <w:szCs w:val="18"/>
                <w:lang w:val="en-US"/>
              </w:rPr>
            </w:pPr>
            <w:r>
              <w:rPr>
                <w:rFonts w:hint="eastAsia"/>
                <w:sz w:val="18"/>
                <w:szCs w:val="18"/>
                <w:lang w:val="en-US"/>
              </w:rPr>
              <w:t>区域</w:t>
            </w:r>
          </w:p>
        </w:tc>
        <w:tc>
          <w:tcPr>
            <w:tcW w:w="2142" w:type="dxa"/>
            <w:shd w:val="clear" w:color="auto" w:fill="E6E6E6"/>
            <w:vAlign w:val="center"/>
          </w:tcPr>
          <w:p w14:paraId="4F8DE7EE">
            <w:pPr>
              <w:spacing w:line="400" w:lineRule="exact"/>
              <w:jc w:val="center"/>
              <w:rPr>
                <w:sz w:val="18"/>
                <w:szCs w:val="18"/>
                <w:lang w:val="en-US"/>
              </w:rPr>
            </w:pPr>
            <w:r>
              <w:rPr>
                <w:rFonts w:hint="eastAsia"/>
                <w:sz w:val="18"/>
                <w:szCs w:val="18"/>
                <w:lang w:val="en-US"/>
              </w:rPr>
              <w:t>迎风面窗平均风压</w:t>
            </w:r>
            <w:r>
              <w:rPr>
                <w:sz w:val="18"/>
                <w:szCs w:val="18"/>
                <w:lang w:val="en-US"/>
              </w:rPr>
              <w:t>(Pa)</w:t>
            </w:r>
          </w:p>
        </w:tc>
        <w:tc>
          <w:tcPr>
            <w:tcW w:w="2268" w:type="dxa"/>
            <w:shd w:val="clear" w:color="auto" w:fill="E6E6E6"/>
            <w:vAlign w:val="center"/>
          </w:tcPr>
          <w:p w14:paraId="7A0D29D3">
            <w:pPr>
              <w:spacing w:line="400" w:lineRule="exact"/>
              <w:jc w:val="center"/>
              <w:rPr>
                <w:sz w:val="18"/>
                <w:szCs w:val="18"/>
                <w:lang w:val="en-US"/>
              </w:rPr>
            </w:pPr>
            <w:r>
              <w:rPr>
                <w:rFonts w:hint="eastAsia"/>
                <w:sz w:val="18"/>
                <w:szCs w:val="18"/>
                <w:lang w:val="en-US"/>
              </w:rPr>
              <w:t>背风面窗平均风压</w:t>
            </w:r>
            <w:r>
              <w:rPr>
                <w:sz w:val="18"/>
                <w:szCs w:val="18"/>
                <w:lang w:val="en-US"/>
              </w:rPr>
              <w:t>(Pa)</w:t>
            </w:r>
          </w:p>
        </w:tc>
        <w:tc>
          <w:tcPr>
            <w:tcW w:w="2551" w:type="dxa"/>
            <w:shd w:val="clear" w:color="auto" w:fill="E6E6E6"/>
            <w:vAlign w:val="center"/>
          </w:tcPr>
          <w:p w14:paraId="7E739371">
            <w:pPr>
              <w:spacing w:line="400" w:lineRule="exact"/>
              <w:jc w:val="center"/>
              <w:rPr>
                <w:sz w:val="18"/>
                <w:szCs w:val="18"/>
                <w:lang w:val="en-US"/>
              </w:rPr>
            </w:pPr>
            <w:r>
              <w:rPr>
                <w:rFonts w:hint="eastAsia"/>
                <w:sz w:val="18"/>
                <w:szCs w:val="18"/>
                <w:lang w:val="en-US"/>
              </w:rPr>
              <w:t>迎背风面窗平均风压差</w:t>
            </w:r>
            <w:r>
              <w:rPr>
                <w:sz w:val="18"/>
                <w:szCs w:val="18"/>
                <w:lang w:val="en-US"/>
              </w:rPr>
              <w:t>(Pa)</w:t>
            </w:r>
          </w:p>
        </w:tc>
      </w:tr>
      <w:tr w14:paraId="1ECA7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69DCCDA6">
            <w:pPr>
              <w:spacing w:line="400" w:lineRule="exact"/>
              <w:jc w:val="center"/>
              <w:rPr>
                <w:sz w:val="18"/>
                <w:szCs w:val="18"/>
                <w:lang w:val="en-US"/>
              </w:rPr>
            </w:pPr>
            <w:r>
              <w:rPr>
                <w:rFonts w:hint="eastAsia"/>
                <w:sz w:val="18"/>
                <w:szCs w:val="18"/>
                <w:lang w:val="en-US"/>
              </w:rPr>
              <w:t>1层</w:t>
            </w:r>
          </w:p>
        </w:tc>
        <w:tc>
          <w:tcPr>
            <w:tcW w:w="2142" w:type="dxa"/>
            <w:vAlign w:val="center"/>
          </w:tcPr>
          <w:p w14:paraId="13F52910">
            <w:pPr>
              <w:spacing w:line="400" w:lineRule="exact"/>
              <w:jc w:val="center"/>
              <w:rPr>
                <w:sz w:val="18"/>
                <w:szCs w:val="18"/>
                <w:lang w:val="en-US"/>
              </w:rPr>
            </w:pPr>
            <w:r>
              <w:rPr>
                <w:sz w:val="18"/>
                <w:szCs w:val="18"/>
                <w:lang w:val="en-US"/>
              </w:rPr>
              <w:t>-28.57</w:t>
            </w:r>
          </w:p>
        </w:tc>
        <w:tc>
          <w:tcPr>
            <w:tcW w:w="2268" w:type="dxa"/>
            <w:vAlign w:val="center"/>
          </w:tcPr>
          <w:p w14:paraId="56BBC3AB">
            <w:pPr>
              <w:spacing w:line="400" w:lineRule="exact"/>
              <w:jc w:val="center"/>
              <w:rPr>
                <w:sz w:val="18"/>
                <w:szCs w:val="18"/>
                <w:lang w:val="en-US"/>
              </w:rPr>
            </w:pPr>
            <w:r>
              <w:rPr>
                <w:sz w:val="18"/>
                <w:szCs w:val="18"/>
                <w:lang w:val="en-US"/>
              </w:rPr>
              <w:t>-28.67</w:t>
            </w:r>
          </w:p>
        </w:tc>
        <w:tc>
          <w:tcPr>
            <w:tcW w:w="2551" w:type="dxa"/>
            <w:vAlign w:val="center"/>
          </w:tcPr>
          <w:p w14:paraId="13492224">
            <w:pPr>
              <w:spacing w:line="400" w:lineRule="exact"/>
              <w:jc w:val="center"/>
              <w:rPr>
                <w:sz w:val="18"/>
                <w:szCs w:val="18"/>
                <w:lang w:val="en-US"/>
              </w:rPr>
            </w:pPr>
            <w:r>
              <w:rPr>
                <w:sz w:val="18"/>
                <w:szCs w:val="18"/>
                <w:lang w:val="en-US"/>
              </w:rPr>
              <w:t>0.10</w:t>
            </w:r>
          </w:p>
        </w:tc>
      </w:tr>
      <w:tr w14:paraId="46366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760B1F37">
            <w:pPr>
              <w:spacing w:line="400" w:lineRule="exact"/>
              <w:jc w:val="center"/>
              <w:rPr>
                <w:sz w:val="18"/>
                <w:szCs w:val="18"/>
                <w:lang w:val="en-US"/>
              </w:rPr>
            </w:pPr>
            <w:r>
              <w:rPr>
                <w:rFonts w:hint="eastAsia"/>
                <w:sz w:val="18"/>
                <w:szCs w:val="18"/>
                <w:lang w:val="en-US"/>
              </w:rPr>
              <w:t>3层</w:t>
            </w:r>
          </w:p>
        </w:tc>
        <w:tc>
          <w:tcPr>
            <w:tcW w:w="2142" w:type="dxa"/>
            <w:vAlign w:val="center"/>
          </w:tcPr>
          <w:p w14:paraId="61A1F5A4">
            <w:pPr>
              <w:spacing w:line="400" w:lineRule="exact"/>
              <w:jc w:val="center"/>
              <w:rPr>
                <w:sz w:val="18"/>
                <w:szCs w:val="18"/>
                <w:lang w:val="en-US"/>
              </w:rPr>
            </w:pPr>
            <w:r>
              <w:rPr>
                <w:sz w:val="18"/>
                <w:szCs w:val="18"/>
                <w:lang w:val="en-US"/>
              </w:rPr>
              <w:t>-29.65</w:t>
            </w:r>
          </w:p>
        </w:tc>
        <w:tc>
          <w:tcPr>
            <w:tcW w:w="2268" w:type="dxa"/>
            <w:vAlign w:val="center"/>
          </w:tcPr>
          <w:p w14:paraId="37B12E9A">
            <w:pPr>
              <w:spacing w:line="400" w:lineRule="exact"/>
              <w:jc w:val="center"/>
              <w:rPr>
                <w:sz w:val="18"/>
                <w:szCs w:val="18"/>
                <w:lang w:val="en-US"/>
              </w:rPr>
            </w:pPr>
            <w:r>
              <w:rPr>
                <w:sz w:val="18"/>
                <w:szCs w:val="18"/>
                <w:lang w:val="en-US"/>
              </w:rPr>
              <w:t>-31.78</w:t>
            </w:r>
          </w:p>
        </w:tc>
        <w:tc>
          <w:tcPr>
            <w:tcW w:w="2551" w:type="dxa"/>
            <w:vAlign w:val="center"/>
          </w:tcPr>
          <w:p w14:paraId="2A5DBD5F">
            <w:pPr>
              <w:spacing w:line="400" w:lineRule="exact"/>
              <w:jc w:val="center"/>
              <w:rPr>
                <w:sz w:val="18"/>
                <w:szCs w:val="18"/>
                <w:lang w:val="en-US"/>
              </w:rPr>
            </w:pPr>
            <w:r>
              <w:rPr>
                <w:sz w:val="18"/>
                <w:szCs w:val="18"/>
                <w:lang w:val="en-US"/>
              </w:rPr>
              <w:t>2.13</w:t>
            </w:r>
          </w:p>
        </w:tc>
      </w:tr>
      <w:tr w14:paraId="7A585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0F2B33FE">
            <w:pPr>
              <w:spacing w:line="400" w:lineRule="exact"/>
              <w:jc w:val="center"/>
              <w:rPr>
                <w:sz w:val="18"/>
                <w:szCs w:val="18"/>
                <w:lang w:val="en-US"/>
              </w:rPr>
            </w:pPr>
            <w:r>
              <w:rPr>
                <w:rFonts w:hint="eastAsia"/>
                <w:sz w:val="18"/>
                <w:szCs w:val="18"/>
                <w:lang w:val="en-US"/>
              </w:rPr>
              <w:t>整楼</w:t>
            </w:r>
          </w:p>
        </w:tc>
        <w:tc>
          <w:tcPr>
            <w:tcW w:w="2142" w:type="dxa"/>
            <w:vAlign w:val="center"/>
          </w:tcPr>
          <w:p w14:paraId="0C10CCBC">
            <w:pPr>
              <w:spacing w:line="400" w:lineRule="exact"/>
              <w:jc w:val="center"/>
              <w:rPr>
                <w:sz w:val="18"/>
                <w:szCs w:val="18"/>
                <w:lang w:val="en-US"/>
              </w:rPr>
            </w:pPr>
            <w:r>
              <w:rPr>
                <w:sz w:val="18"/>
                <w:szCs w:val="18"/>
                <w:lang w:val="en-US"/>
              </w:rPr>
              <w:t>-29.22</w:t>
            </w:r>
          </w:p>
        </w:tc>
        <w:tc>
          <w:tcPr>
            <w:tcW w:w="2268" w:type="dxa"/>
            <w:vAlign w:val="center"/>
          </w:tcPr>
          <w:p w14:paraId="2A1AB64D">
            <w:pPr>
              <w:spacing w:line="400" w:lineRule="exact"/>
              <w:jc w:val="center"/>
              <w:rPr>
                <w:sz w:val="18"/>
                <w:szCs w:val="18"/>
                <w:lang w:val="en-US"/>
              </w:rPr>
            </w:pPr>
            <w:r>
              <w:rPr>
                <w:sz w:val="18"/>
                <w:szCs w:val="18"/>
                <w:lang w:val="en-US"/>
              </w:rPr>
              <w:t>-34.73</w:t>
            </w:r>
          </w:p>
        </w:tc>
        <w:tc>
          <w:tcPr>
            <w:tcW w:w="2551" w:type="dxa"/>
            <w:vAlign w:val="center"/>
          </w:tcPr>
          <w:p w14:paraId="1C26D4EB">
            <w:pPr>
              <w:spacing w:line="400" w:lineRule="exact"/>
              <w:jc w:val="center"/>
              <w:rPr>
                <w:sz w:val="18"/>
                <w:szCs w:val="18"/>
                <w:lang w:val="en-US"/>
              </w:rPr>
            </w:pPr>
            <w:r>
              <w:rPr>
                <w:sz w:val="18"/>
                <w:szCs w:val="18"/>
                <w:lang w:val="en-US"/>
              </w:rPr>
              <w:t>5.51</w:t>
            </w:r>
          </w:p>
        </w:tc>
      </w:tr>
      <w:bookmarkEnd w:id="101"/>
    </w:tbl>
    <w:p w14:paraId="29CBC105">
      <w:bookmarkStart w:id="103" w:name="结论"/>
      <w:bookmarkEnd w:id="103"/>
      <w:r>
        <w:t>标准要求：迎背风面窗平均风压差（绝对值）≤5Pa。结论：该楼</w:t>
      </w:r>
      <w:r>
        <w:rPr>
          <w:b/>
          <w:color w:val="FF0000"/>
        </w:rPr>
        <w:t>未达标</w:t>
      </w:r>
      <w:r>
        <w:t>。</w:t>
      </w:r>
    </w:p>
    <w:bookmarkEnd w:id="100"/>
    <w:p w14:paraId="74B4AE0E">
      <w:pPr>
        <w:jc w:val="center"/>
        <w:rPr>
          <w:sz w:val="20"/>
        </w:rPr>
      </w:pPr>
      <w:bookmarkStart w:id="104" w:name="建筑迎背风面风压差表_新增"/>
      <w:bookmarkEnd w:id="104"/>
    </w:p>
    <w:bookmarkEnd w:id="19"/>
    <w:p w14:paraId="4BCDC64D">
      <w:pPr>
        <w:pStyle w:val="6"/>
      </w:pPr>
      <w:r>
        <w:rPr>
          <w:rFonts w:hint="eastAsia"/>
        </w:rPr>
        <w:t>建筑迎风和背风面风压差结论汇总</w:t>
      </w:r>
    </w:p>
    <w:p w14:paraId="0EAFE17B">
      <w:pPr>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建筑迎风和背风面风压差结论汇总表</w:t>
      </w:r>
    </w:p>
    <w:tbl>
      <w:tblPr>
        <w:tblStyle w:val="21"/>
        <w:tblW w:w="8484"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8"/>
        <w:gridCol w:w="1697"/>
        <w:gridCol w:w="1697"/>
        <w:gridCol w:w="2401"/>
        <w:gridCol w:w="1151"/>
      </w:tblGrid>
      <w:tr w14:paraId="77205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E6E6E6"/>
            <w:vAlign w:val="center"/>
          </w:tcPr>
          <w:p w14:paraId="2EEFC4D0">
            <w:pPr>
              <w:jc w:val="center"/>
              <w:rPr>
                <w:sz w:val="18"/>
                <w:szCs w:val="18"/>
                <w:lang w:val="en-US"/>
              </w:rPr>
            </w:pPr>
            <w:bookmarkStart w:id="105" w:name="建筑迎风和背风面风压差结论汇总表"/>
            <w:r>
              <w:rPr>
                <w:rFonts w:hint="eastAsia"/>
                <w:sz w:val="18"/>
                <w:szCs w:val="18"/>
                <w:lang w:val="en-US"/>
              </w:rPr>
              <w:t>建筑编号</w:t>
            </w:r>
          </w:p>
        </w:tc>
        <w:tc>
          <w:tcPr>
            <w:tcW w:w="1697" w:type="dxa"/>
            <w:shd w:val="clear" w:color="auto" w:fill="E6E6E6"/>
            <w:vAlign w:val="center"/>
          </w:tcPr>
          <w:p w14:paraId="145CCCC5">
            <w:pPr>
              <w:jc w:val="center"/>
              <w:rPr>
                <w:sz w:val="18"/>
                <w:szCs w:val="18"/>
                <w:lang w:val="en-US"/>
              </w:rPr>
            </w:pPr>
            <w:r>
              <w:rPr>
                <w:rFonts w:hint="eastAsia"/>
                <w:sz w:val="18"/>
                <w:szCs w:val="18"/>
                <w:lang w:val="en-US"/>
              </w:rPr>
              <w:t>迎风面平均风压(Pa)</w:t>
            </w:r>
          </w:p>
        </w:tc>
        <w:tc>
          <w:tcPr>
            <w:tcW w:w="1697" w:type="dxa"/>
            <w:shd w:val="clear" w:color="auto" w:fill="E6E6E6"/>
            <w:vAlign w:val="center"/>
          </w:tcPr>
          <w:p w14:paraId="6CB41377">
            <w:pPr>
              <w:jc w:val="center"/>
              <w:rPr>
                <w:sz w:val="18"/>
                <w:szCs w:val="18"/>
                <w:lang w:val="en-US"/>
              </w:rPr>
            </w:pPr>
            <w:r>
              <w:rPr>
                <w:rFonts w:hint="eastAsia"/>
                <w:sz w:val="18"/>
                <w:szCs w:val="18"/>
                <w:lang w:val="en-US"/>
              </w:rPr>
              <w:t>背风面平均风压(Pa)</w:t>
            </w:r>
          </w:p>
        </w:tc>
        <w:tc>
          <w:tcPr>
            <w:tcW w:w="2401" w:type="dxa"/>
            <w:shd w:val="clear" w:color="auto" w:fill="E6E6E6"/>
            <w:vAlign w:val="center"/>
          </w:tcPr>
          <w:p w14:paraId="2D3E62B5">
            <w:pPr>
              <w:jc w:val="center"/>
              <w:rPr>
                <w:sz w:val="18"/>
                <w:szCs w:val="18"/>
                <w:lang w:val="en-US"/>
              </w:rPr>
            </w:pPr>
            <w:r>
              <w:rPr>
                <w:rFonts w:hint="eastAsia"/>
                <w:sz w:val="18"/>
                <w:szCs w:val="18"/>
                <w:lang w:val="en-US"/>
              </w:rPr>
              <w:t>建筑迎风和背风面风压差(Pa)</w:t>
            </w:r>
          </w:p>
        </w:tc>
        <w:tc>
          <w:tcPr>
            <w:tcW w:w="1151" w:type="dxa"/>
            <w:shd w:val="clear" w:color="auto" w:fill="E6E6E6"/>
            <w:vAlign w:val="center"/>
          </w:tcPr>
          <w:p w14:paraId="323CCFDF">
            <w:pPr>
              <w:jc w:val="center"/>
              <w:rPr>
                <w:sz w:val="18"/>
                <w:szCs w:val="18"/>
                <w:lang w:val="en-US"/>
              </w:rPr>
            </w:pPr>
            <w:r>
              <w:rPr>
                <w:rFonts w:hint="eastAsia"/>
                <w:sz w:val="18"/>
                <w:szCs w:val="18"/>
                <w:lang w:val="en-US"/>
              </w:rPr>
              <w:t>是否达标</w:t>
            </w:r>
          </w:p>
        </w:tc>
      </w:tr>
      <w:tr w14:paraId="1278C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07A9D98E">
            <w:pPr>
              <w:jc w:val="center"/>
              <w:rPr>
                <w:sz w:val="18"/>
                <w:szCs w:val="18"/>
                <w:lang w:val="en-US"/>
              </w:rPr>
            </w:pPr>
            <w:r>
              <w:rPr>
                <w:sz w:val="18"/>
                <w:szCs w:val="18"/>
                <w:lang w:val="en-US"/>
              </w:rPr>
              <w:t>博物馆</w:t>
            </w:r>
          </w:p>
        </w:tc>
        <w:tc>
          <w:tcPr>
            <w:tcW w:w="1697" w:type="dxa"/>
            <w:shd w:val="clear" w:color="auto" w:fill="auto"/>
            <w:vAlign w:val="center"/>
          </w:tcPr>
          <w:p w14:paraId="63326191">
            <w:pPr>
              <w:jc w:val="center"/>
              <w:rPr>
                <w:sz w:val="18"/>
                <w:szCs w:val="18"/>
                <w:lang w:val="en-US"/>
              </w:rPr>
            </w:pPr>
            <w:r>
              <w:rPr>
                <w:sz w:val="18"/>
                <w:szCs w:val="18"/>
                <w:lang w:val="en-US"/>
              </w:rPr>
              <w:t>-23.51</w:t>
            </w:r>
          </w:p>
        </w:tc>
        <w:tc>
          <w:tcPr>
            <w:tcW w:w="1697" w:type="dxa"/>
            <w:shd w:val="clear" w:color="auto" w:fill="auto"/>
            <w:vAlign w:val="center"/>
          </w:tcPr>
          <w:p w14:paraId="04B8F7DA">
            <w:pPr>
              <w:jc w:val="center"/>
              <w:rPr>
                <w:sz w:val="18"/>
                <w:szCs w:val="18"/>
                <w:lang w:val="en-US"/>
              </w:rPr>
            </w:pPr>
            <w:r>
              <w:rPr>
                <w:sz w:val="18"/>
                <w:szCs w:val="18"/>
                <w:lang w:val="en-US"/>
              </w:rPr>
              <w:t>-28.34</w:t>
            </w:r>
          </w:p>
        </w:tc>
        <w:tc>
          <w:tcPr>
            <w:tcW w:w="2401" w:type="dxa"/>
            <w:shd w:val="clear" w:color="auto" w:fill="auto"/>
            <w:vAlign w:val="center"/>
          </w:tcPr>
          <w:p w14:paraId="0A62AC8A">
            <w:pPr>
              <w:jc w:val="center"/>
              <w:rPr>
                <w:sz w:val="18"/>
                <w:szCs w:val="18"/>
                <w:lang w:val="en-US"/>
              </w:rPr>
            </w:pPr>
            <w:r>
              <w:rPr>
                <w:sz w:val="18"/>
                <w:szCs w:val="18"/>
                <w:lang w:val="en-US"/>
              </w:rPr>
              <w:t>4.83</w:t>
            </w:r>
          </w:p>
        </w:tc>
        <w:tc>
          <w:tcPr>
            <w:tcW w:w="1151" w:type="dxa"/>
            <w:shd w:val="clear" w:color="auto" w:fill="auto"/>
            <w:vAlign w:val="center"/>
          </w:tcPr>
          <w:p w14:paraId="041B88AA">
            <w:pPr>
              <w:jc w:val="center"/>
              <w:rPr>
                <w:sz w:val="18"/>
                <w:szCs w:val="18"/>
                <w:lang w:val="en-US"/>
              </w:rPr>
            </w:pPr>
            <w:r>
              <w:rPr>
                <w:sz w:val="18"/>
                <w:szCs w:val="18"/>
                <w:lang w:val="en-US"/>
              </w:rPr>
              <w:t>是</w:t>
            </w:r>
          </w:p>
        </w:tc>
      </w:tr>
      <w:tr w14:paraId="3A345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1EAF99F0">
            <w:pPr>
              <w:jc w:val="center"/>
              <w:rPr>
                <w:sz w:val="18"/>
                <w:szCs w:val="18"/>
                <w:lang w:val="en-US"/>
              </w:rPr>
            </w:pPr>
            <w:r>
              <w:rPr>
                <w:sz w:val="18"/>
                <w:szCs w:val="18"/>
                <w:lang w:val="en-US"/>
              </w:rPr>
              <w:t>陈列馆</w:t>
            </w:r>
          </w:p>
        </w:tc>
        <w:tc>
          <w:tcPr>
            <w:tcW w:w="1697" w:type="dxa"/>
            <w:shd w:val="clear" w:color="auto" w:fill="auto"/>
            <w:vAlign w:val="center"/>
          </w:tcPr>
          <w:p w14:paraId="742A5B3E">
            <w:pPr>
              <w:jc w:val="center"/>
              <w:rPr>
                <w:sz w:val="18"/>
                <w:szCs w:val="18"/>
                <w:lang w:val="en-US"/>
              </w:rPr>
            </w:pPr>
            <w:r>
              <w:rPr>
                <w:sz w:val="18"/>
                <w:szCs w:val="18"/>
                <w:lang w:val="en-US"/>
              </w:rPr>
              <w:t>-25.32</w:t>
            </w:r>
          </w:p>
        </w:tc>
        <w:tc>
          <w:tcPr>
            <w:tcW w:w="1697" w:type="dxa"/>
            <w:shd w:val="clear" w:color="auto" w:fill="auto"/>
            <w:vAlign w:val="center"/>
          </w:tcPr>
          <w:p w14:paraId="7F386247">
            <w:pPr>
              <w:jc w:val="center"/>
              <w:rPr>
                <w:sz w:val="18"/>
                <w:szCs w:val="18"/>
                <w:lang w:val="en-US"/>
              </w:rPr>
            </w:pPr>
            <w:r>
              <w:rPr>
                <w:sz w:val="18"/>
                <w:szCs w:val="18"/>
                <w:lang w:val="en-US"/>
              </w:rPr>
              <w:t>-27.76</w:t>
            </w:r>
          </w:p>
        </w:tc>
        <w:tc>
          <w:tcPr>
            <w:tcW w:w="2401" w:type="dxa"/>
            <w:shd w:val="clear" w:color="auto" w:fill="auto"/>
            <w:vAlign w:val="center"/>
          </w:tcPr>
          <w:p w14:paraId="32AC2D81">
            <w:pPr>
              <w:jc w:val="center"/>
              <w:rPr>
                <w:sz w:val="18"/>
                <w:szCs w:val="18"/>
                <w:lang w:val="en-US"/>
              </w:rPr>
            </w:pPr>
            <w:r>
              <w:rPr>
                <w:sz w:val="18"/>
                <w:szCs w:val="18"/>
                <w:lang w:val="en-US"/>
              </w:rPr>
              <w:t>2.44</w:t>
            </w:r>
          </w:p>
        </w:tc>
        <w:tc>
          <w:tcPr>
            <w:tcW w:w="1151" w:type="dxa"/>
            <w:shd w:val="clear" w:color="auto" w:fill="auto"/>
            <w:vAlign w:val="center"/>
          </w:tcPr>
          <w:p w14:paraId="6520CAF3">
            <w:pPr>
              <w:jc w:val="center"/>
              <w:rPr>
                <w:sz w:val="18"/>
                <w:szCs w:val="18"/>
                <w:lang w:val="en-US"/>
              </w:rPr>
            </w:pPr>
            <w:r>
              <w:rPr>
                <w:sz w:val="18"/>
                <w:szCs w:val="18"/>
                <w:lang w:val="en-US"/>
              </w:rPr>
              <w:t>是</w:t>
            </w:r>
          </w:p>
        </w:tc>
      </w:tr>
      <w:tr w14:paraId="0AD6F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22284EB4">
            <w:pPr>
              <w:jc w:val="center"/>
              <w:rPr>
                <w:sz w:val="18"/>
                <w:szCs w:val="18"/>
                <w:lang w:val="en-US"/>
              </w:rPr>
            </w:pPr>
            <w:r>
              <w:rPr>
                <w:sz w:val="18"/>
                <w:szCs w:val="18"/>
                <w:lang w:val="en-US"/>
              </w:rPr>
              <w:t>单体</w:t>
            </w:r>
          </w:p>
        </w:tc>
        <w:tc>
          <w:tcPr>
            <w:tcW w:w="1697" w:type="dxa"/>
            <w:shd w:val="clear" w:color="auto" w:fill="auto"/>
            <w:vAlign w:val="center"/>
          </w:tcPr>
          <w:p w14:paraId="70F76A20">
            <w:pPr>
              <w:jc w:val="center"/>
              <w:rPr>
                <w:sz w:val="18"/>
                <w:szCs w:val="18"/>
                <w:lang w:val="en-US"/>
              </w:rPr>
            </w:pPr>
            <w:r>
              <w:rPr>
                <w:sz w:val="18"/>
                <w:szCs w:val="18"/>
                <w:lang w:val="en-US"/>
              </w:rPr>
              <w:t>-29.22</w:t>
            </w:r>
          </w:p>
        </w:tc>
        <w:tc>
          <w:tcPr>
            <w:tcW w:w="1697" w:type="dxa"/>
            <w:shd w:val="clear" w:color="auto" w:fill="auto"/>
            <w:vAlign w:val="center"/>
          </w:tcPr>
          <w:p w14:paraId="351F185C">
            <w:pPr>
              <w:jc w:val="center"/>
              <w:rPr>
                <w:sz w:val="18"/>
                <w:szCs w:val="18"/>
                <w:lang w:val="en-US"/>
              </w:rPr>
            </w:pPr>
            <w:r>
              <w:rPr>
                <w:sz w:val="18"/>
                <w:szCs w:val="18"/>
                <w:lang w:val="en-US"/>
              </w:rPr>
              <w:t>-34.73</w:t>
            </w:r>
          </w:p>
        </w:tc>
        <w:tc>
          <w:tcPr>
            <w:tcW w:w="2401" w:type="dxa"/>
            <w:shd w:val="clear" w:color="auto" w:fill="auto"/>
            <w:vAlign w:val="center"/>
          </w:tcPr>
          <w:p w14:paraId="61FCC1A7">
            <w:pPr>
              <w:jc w:val="center"/>
              <w:rPr>
                <w:sz w:val="18"/>
                <w:szCs w:val="18"/>
                <w:lang w:val="en-US"/>
              </w:rPr>
            </w:pPr>
            <w:r>
              <w:rPr>
                <w:color w:val="FF0000"/>
                <w:sz w:val="18"/>
                <w:szCs w:val="18"/>
                <w:lang w:val="en-US"/>
              </w:rPr>
              <w:t>5.51</w:t>
            </w:r>
          </w:p>
        </w:tc>
        <w:tc>
          <w:tcPr>
            <w:tcW w:w="1151" w:type="dxa"/>
            <w:shd w:val="clear" w:color="auto" w:fill="auto"/>
            <w:vAlign w:val="center"/>
          </w:tcPr>
          <w:p w14:paraId="0D37EC12">
            <w:pPr>
              <w:jc w:val="center"/>
              <w:rPr>
                <w:sz w:val="18"/>
                <w:szCs w:val="18"/>
                <w:lang w:val="en-US"/>
              </w:rPr>
            </w:pPr>
            <w:r>
              <w:rPr>
                <w:color w:val="FF0000"/>
                <w:sz w:val="18"/>
                <w:szCs w:val="18"/>
                <w:lang w:val="en-US"/>
              </w:rPr>
              <w:t>否</w:t>
            </w:r>
          </w:p>
        </w:tc>
      </w:tr>
      <w:tr w14:paraId="6ECDB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6CAB6922">
            <w:pPr>
              <w:jc w:val="center"/>
              <w:rPr>
                <w:sz w:val="18"/>
                <w:szCs w:val="18"/>
                <w:lang w:val="en-US"/>
              </w:rPr>
            </w:pPr>
            <w:r>
              <w:rPr>
                <w:sz w:val="18"/>
                <w:szCs w:val="18"/>
                <w:lang w:val="en-US"/>
              </w:rPr>
              <w:t>接待大堂</w:t>
            </w:r>
          </w:p>
        </w:tc>
        <w:tc>
          <w:tcPr>
            <w:tcW w:w="1697" w:type="dxa"/>
            <w:shd w:val="clear" w:color="auto" w:fill="auto"/>
            <w:vAlign w:val="center"/>
          </w:tcPr>
          <w:p w14:paraId="1E516EB4">
            <w:pPr>
              <w:jc w:val="center"/>
              <w:rPr>
                <w:sz w:val="18"/>
                <w:szCs w:val="18"/>
                <w:lang w:val="en-US"/>
              </w:rPr>
            </w:pPr>
            <w:r>
              <w:rPr>
                <w:sz w:val="18"/>
                <w:szCs w:val="18"/>
                <w:lang w:val="en-US"/>
              </w:rPr>
              <w:t>-22.05</w:t>
            </w:r>
          </w:p>
        </w:tc>
        <w:tc>
          <w:tcPr>
            <w:tcW w:w="1697" w:type="dxa"/>
            <w:shd w:val="clear" w:color="auto" w:fill="auto"/>
            <w:vAlign w:val="center"/>
          </w:tcPr>
          <w:p w14:paraId="0E44507C">
            <w:pPr>
              <w:jc w:val="center"/>
              <w:rPr>
                <w:sz w:val="18"/>
                <w:szCs w:val="18"/>
                <w:lang w:val="en-US"/>
              </w:rPr>
            </w:pPr>
            <w:r>
              <w:rPr>
                <w:sz w:val="18"/>
                <w:szCs w:val="18"/>
                <w:lang w:val="en-US"/>
              </w:rPr>
              <w:t>-41.10</w:t>
            </w:r>
          </w:p>
        </w:tc>
        <w:tc>
          <w:tcPr>
            <w:tcW w:w="2401" w:type="dxa"/>
            <w:shd w:val="clear" w:color="auto" w:fill="auto"/>
            <w:vAlign w:val="center"/>
          </w:tcPr>
          <w:p w14:paraId="7AC869C2">
            <w:pPr>
              <w:jc w:val="center"/>
              <w:rPr>
                <w:sz w:val="18"/>
                <w:szCs w:val="18"/>
                <w:lang w:val="en-US"/>
              </w:rPr>
            </w:pPr>
            <w:r>
              <w:rPr>
                <w:color w:val="FF0000"/>
                <w:sz w:val="18"/>
                <w:szCs w:val="18"/>
                <w:lang w:val="en-US"/>
              </w:rPr>
              <w:t>19.05</w:t>
            </w:r>
          </w:p>
        </w:tc>
        <w:tc>
          <w:tcPr>
            <w:tcW w:w="1151" w:type="dxa"/>
            <w:shd w:val="clear" w:color="auto" w:fill="auto"/>
            <w:vAlign w:val="center"/>
          </w:tcPr>
          <w:p w14:paraId="0BC0B0D9">
            <w:pPr>
              <w:jc w:val="center"/>
              <w:rPr>
                <w:sz w:val="18"/>
                <w:szCs w:val="18"/>
                <w:lang w:val="en-US"/>
              </w:rPr>
            </w:pPr>
            <w:r>
              <w:rPr>
                <w:color w:val="FF0000"/>
                <w:sz w:val="18"/>
                <w:szCs w:val="18"/>
                <w:lang w:val="en-US"/>
              </w:rPr>
              <w:t>否</w:t>
            </w:r>
          </w:p>
        </w:tc>
      </w:tr>
      <w:tr w14:paraId="6E71E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3A09E00F">
            <w:pPr>
              <w:jc w:val="center"/>
              <w:rPr>
                <w:sz w:val="18"/>
                <w:szCs w:val="18"/>
                <w:lang w:val="en-US"/>
              </w:rPr>
            </w:pPr>
            <w:r>
              <w:rPr>
                <w:sz w:val="18"/>
                <w:szCs w:val="18"/>
                <w:lang w:val="en-US"/>
              </w:rPr>
              <w:t>酒店2</w:t>
            </w:r>
          </w:p>
        </w:tc>
        <w:tc>
          <w:tcPr>
            <w:tcW w:w="1697" w:type="dxa"/>
            <w:shd w:val="clear" w:color="auto" w:fill="auto"/>
            <w:vAlign w:val="center"/>
          </w:tcPr>
          <w:p w14:paraId="6FC393F6">
            <w:pPr>
              <w:jc w:val="center"/>
              <w:rPr>
                <w:sz w:val="18"/>
                <w:szCs w:val="18"/>
                <w:lang w:val="en-US"/>
              </w:rPr>
            </w:pPr>
            <w:r>
              <w:rPr>
                <w:sz w:val="18"/>
                <w:szCs w:val="18"/>
                <w:lang w:val="en-US"/>
              </w:rPr>
              <w:t>-21.68</w:t>
            </w:r>
          </w:p>
        </w:tc>
        <w:tc>
          <w:tcPr>
            <w:tcW w:w="1697" w:type="dxa"/>
            <w:shd w:val="clear" w:color="auto" w:fill="auto"/>
            <w:vAlign w:val="center"/>
          </w:tcPr>
          <w:p w14:paraId="64E92C6E">
            <w:pPr>
              <w:jc w:val="center"/>
              <w:rPr>
                <w:sz w:val="18"/>
                <w:szCs w:val="18"/>
                <w:lang w:val="en-US"/>
              </w:rPr>
            </w:pPr>
            <w:r>
              <w:rPr>
                <w:sz w:val="18"/>
                <w:szCs w:val="18"/>
                <w:lang w:val="en-US"/>
              </w:rPr>
              <w:t>-29.56</w:t>
            </w:r>
          </w:p>
        </w:tc>
        <w:tc>
          <w:tcPr>
            <w:tcW w:w="2401" w:type="dxa"/>
            <w:shd w:val="clear" w:color="auto" w:fill="auto"/>
            <w:vAlign w:val="center"/>
          </w:tcPr>
          <w:p w14:paraId="4E6CE0E3">
            <w:pPr>
              <w:jc w:val="center"/>
              <w:rPr>
                <w:sz w:val="18"/>
                <w:szCs w:val="18"/>
                <w:lang w:val="en-US"/>
              </w:rPr>
            </w:pPr>
            <w:r>
              <w:rPr>
                <w:color w:val="FF0000"/>
                <w:sz w:val="18"/>
                <w:szCs w:val="18"/>
                <w:lang w:val="en-US"/>
              </w:rPr>
              <w:t>7.88</w:t>
            </w:r>
          </w:p>
        </w:tc>
        <w:tc>
          <w:tcPr>
            <w:tcW w:w="1151" w:type="dxa"/>
            <w:shd w:val="clear" w:color="auto" w:fill="auto"/>
            <w:vAlign w:val="center"/>
          </w:tcPr>
          <w:p w14:paraId="23D919BF">
            <w:pPr>
              <w:jc w:val="center"/>
              <w:rPr>
                <w:sz w:val="18"/>
                <w:szCs w:val="18"/>
                <w:lang w:val="en-US"/>
              </w:rPr>
            </w:pPr>
            <w:r>
              <w:rPr>
                <w:color w:val="FF0000"/>
                <w:sz w:val="18"/>
                <w:szCs w:val="18"/>
                <w:lang w:val="en-US"/>
              </w:rPr>
              <w:t>否</w:t>
            </w:r>
          </w:p>
        </w:tc>
      </w:tr>
      <w:tr w14:paraId="06DF1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78929A3C">
            <w:pPr>
              <w:jc w:val="center"/>
              <w:rPr>
                <w:sz w:val="18"/>
                <w:szCs w:val="18"/>
                <w:lang w:val="en-US"/>
              </w:rPr>
            </w:pPr>
            <w:r>
              <w:rPr>
                <w:sz w:val="18"/>
                <w:szCs w:val="18"/>
                <w:lang w:val="en-US"/>
              </w:rPr>
              <w:t>图书馆</w:t>
            </w:r>
          </w:p>
        </w:tc>
        <w:tc>
          <w:tcPr>
            <w:tcW w:w="1697" w:type="dxa"/>
            <w:shd w:val="clear" w:color="auto" w:fill="auto"/>
            <w:vAlign w:val="center"/>
          </w:tcPr>
          <w:p w14:paraId="3E6C95A9">
            <w:pPr>
              <w:jc w:val="center"/>
              <w:rPr>
                <w:sz w:val="18"/>
                <w:szCs w:val="18"/>
                <w:lang w:val="en-US"/>
              </w:rPr>
            </w:pPr>
            <w:r>
              <w:rPr>
                <w:sz w:val="18"/>
                <w:szCs w:val="18"/>
                <w:lang w:val="en-US"/>
              </w:rPr>
              <w:t>-18.29</w:t>
            </w:r>
          </w:p>
        </w:tc>
        <w:tc>
          <w:tcPr>
            <w:tcW w:w="1697" w:type="dxa"/>
            <w:shd w:val="clear" w:color="auto" w:fill="auto"/>
            <w:vAlign w:val="center"/>
          </w:tcPr>
          <w:p w14:paraId="33E1D319">
            <w:pPr>
              <w:jc w:val="center"/>
              <w:rPr>
                <w:sz w:val="18"/>
                <w:szCs w:val="18"/>
                <w:lang w:val="en-US"/>
              </w:rPr>
            </w:pPr>
            <w:r>
              <w:rPr>
                <w:sz w:val="18"/>
                <w:szCs w:val="18"/>
                <w:lang w:val="en-US"/>
              </w:rPr>
              <w:t>-25.66</w:t>
            </w:r>
          </w:p>
        </w:tc>
        <w:tc>
          <w:tcPr>
            <w:tcW w:w="2401" w:type="dxa"/>
            <w:shd w:val="clear" w:color="auto" w:fill="auto"/>
            <w:vAlign w:val="center"/>
          </w:tcPr>
          <w:p w14:paraId="6D846169">
            <w:pPr>
              <w:jc w:val="center"/>
              <w:rPr>
                <w:sz w:val="18"/>
                <w:szCs w:val="18"/>
                <w:lang w:val="en-US"/>
              </w:rPr>
            </w:pPr>
            <w:r>
              <w:rPr>
                <w:color w:val="FF0000"/>
                <w:sz w:val="18"/>
                <w:szCs w:val="18"/>
                <w:lang w:val="en-US"/>
              </w:rPr>
              <w:t>7.37</w:t>
            </w:r>
          </w:p>
        </w:tc>
        <w:tc>
          <w:tcPr>
            <w:tcW w:w="1151" w:type="dxa"/>
            <w:shd w:val="clear" w:color="auto" w:fill="auto"/>
            <w:vAlign w:val="center"/>
          </w:tcPr>
          <w:p w14:paraId="5E2913A2">
            <w:pPr>
              <w:jc w:val="center"/>
              <w:rPr>
                <w:sz w:val="18"/>
                <w:szCs w:val="18"/>
                <w:lang w:val="en-US"/>
              </w:rPr>
            </w:pPr>
            <w:r>
              <w:rPr>
                <w:color w:val="FF0000"/>
                <w:sz w:val="18"/>
                <w:szCs w:val="18"/>
                <w:lang w:val="en-US"/>
              </w:rPr>
              <w:t>否</w:t>
            </w:r>
          </w:p>
        </w:tc>
      </w:tr>
      <w:tr w14:paraId="7E163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44ED4BB3">
            <w:pPr>
              <w:jc w:val="center"/>
              <w:rPr>
                <w:sz w:val="18"/>
                <w:szCs w:val="18"/>
                <w:lang w:val="en-US"/>
              </w:rPr>
            </w:pPr>
            <w:r>
              <w:rPr>
                <w:sz w:val="18"/>
                <w:szCs w:val="18"/>
                <w:lang w:val="en-US"/>
              </w:rPr>
              <w:t>展示厅</w:t>
            </w:r>
          </w:p>
        </w:tc>
        <w:tc>
          <w:tcPr>
            <w:tcW w:w="1697" w:type="dxa"/>
            <w:shd w:val="clear" w:color="auto" w:fill="auto"/>
            <w:vAlign w:val="center"/>
          </w:tcPr>
          <w:p w14:paraId="75FE327C">
            <w:pPr>
              <w:jc w:val="center"/>
              <w:rPr>
                <w:sz w:val="18"/>
                <w:szCs w:val="18"/>
                <w:lang w:val="en-US"/>
              </w:rPr>
            </w:pPr>
            <w:r>
              <w:rPr>
                <w:sz w:val="18"/>
                <w:szCs w:val="18"/>
                <w:lang w:val="en-US"/>
              </w:rPr>
              <w:t>-23.48</w:t>
            </w:r>
          </w:p>
        </w:tc>
        <w:tc>
          <w:tcPr>
            <w:tcW w:w="1697" w:type="dxa"/>
            <w:shd w:val="clear" w:color="auto" w:fill="auto"/>
            <w:vAlign w:val="center"/>
          </w:tcPr>
          <w:p w14:paraId="707250E4">
            <w:pPr>
              <w:jc w:val="center"/>
              <w:rPr>
                <w:sz w:val="18"/>
                <w:szCs w:val="18"/>
                <w:lang w:val="en-US"/>
              </w:rPr>
            </w:pPr>
            <w:r>
              <w:rPr>
                <w:sz w:val="18"/>
                <w:szCs w:val="18"/>
                <w:lang w:val="en-US"/>
              </w:rPr>
              <w:t>-32.71</w:t>
            </w:r>
          </w:p>
        </w:tc>
        <w:tc>
          <w:tcPr>
            <w:tcW w:w="2401" w:type="dxa"/>
            <w:shd w:val="clear" w:color="auto" w:fill="auto"/>
            <w:vAlign w:val="center"/>
          </w:tcPr>
          <w:p w14:paraId="4E616A67">
            <w:pPr>
              <w:jc w:val="center"/>
              <w:rPr>
                <w:sz w:val="18"/>
                <w:szCs w:val="18"/>
                <w:lang w:val="en-US"/>
              </w:rPr>
            </w:pPr>
            <w:r>
              <w:rPr>
                <w:color w:val="FF0000"/>
                <w:sz w:val="18"/>
                <w:szCs w:val="18"/>
                <w:lang w:val="en-US"/>
              </w:rPr>
              <w:t>9.22</w:t>
            </w:r>
          </w:p>
        </w:tc>
        <w:tc>
          <w:tcPr>
            <w:tcW w:w="1151" w:type="dxa"/>
            <w:shd w:val="clear" w:color="auto" w:fill="auto"/>
            <w:vAlign w:val="center"/>
          </w:tcPr>
          <w:p w14:paraId="55D486C4">
            <w:pPr>
              <w:jc w:val="center"/>
              <w:rPr>
                <w:sz w:val="18"/>
                <w:szCs w:val="18"/>
                <w:lang w:val="en-US"/>
              </w:rPr>
            </w:pPr>
            <w:r>
              <w:rPr>
                <w:color w:val="FF0000"/>
                <w:sz w:val="18"/>
                <w:szCs w:val="18"/>
                <w:lang w:val="en-US"/>
              </w:rPr>
              <w:t>否</w:t>
            </w:r>
          </w:p>
        </w:tc>
      </w:tr>
      <w:bookmarkEnd w:id="105"/>
    </w:tbl>
    <w:p w14:paraId="667D98B2">
      <w:pPr>
        <w:rPr>
          <w:lang w:val="en-US"/>
        </w:rPr>
      </w:pPr>
      <w:bookmarkStart w:id="106" w:name="建筑迎风和背风面风压差结论汇总结论"/>
      <w:bookmarkEnd w:id="106"/>
      <w:r>
        <w:rPr>
          <w:lang w:val="en-US"/>
        </w:rPr>
        <w:t>结论：本项目中参评建筑单体、接待大堂、酒店2、图书馆、展示厅迎背风压差</w:t>
      </w:r>
      <w:r>
        <w:rPr>
          <w:b/>
          <w:color w:val="FF0000"/>
          <w:lang w:val="en-US"/>
        </w:rPr>
        <w:t>超过</w:t>
      </w:r>
      <w:r>
        <w:rPr>
          <w:lang w:val="en-US"/>
        </w:rPr>
        <w:t>5Pa，</w:t>
      </w:r>
      <w:r>
        <w:rPr>
          <w:b/>
          <w:color w:val="FF0000"/>
          <w:lang w:val="en-US"/>
        </w:rPr>
        <w:t>未满足</w:t>
      </w:r>
      <w:r>
        <w:rPr>
          <w:lang w:val="en-US"/>
        </w:rPr>
        <w:t>“除迎风第一排建筑外，建筑迎风面与背风面表面风压差不超过5Pa”的要求，该条不得分。</w:t>
      </w:r>
    </w:p>
    <w:p w14:paraId="454A472D">
      <w:pPr>
        <w:rPr>
          <w:lang w:val="en-US"/>
        </w:rPr>
      </w:pPr>
      <w:r>
        <w:rPr>
          <w:b/>
          <w:color w:val="000000"/>
          <w:lang w:val="en-US"/>
        </w:rPr>
        <w:t>说明：所有单体建筑各层迎风和背风面风压差信息详见附录。</w:t>
      </w:r>
    </w:p>
    <w:p w14:paraId="4A217B4D">
      <w:pPr>
        <w:rPr>
          <w:lang w:val="en-US"/>
        </w:rPr>
      </w:pPr>
      <w:bookmarkStart w:id="107" w:name="冬季工况"/>
      <w:bookmarkEnd w:id="107"/>
      <w:r>
        <w:rPr>
          <w:rFonts w:hint="eastAsia"/>
          <w:lang w:val="en-US"/>
        </w:rPr>
        <w:t xml:space="preserve"> </w:t>
      </w:r>
    </w:p>
    <w:p w14:paraId="0CCFDD82">
      <w:pPr>
        <w:pStyle w:val="4"/>
      </w:pPr>
      <w:bookmarkStart w:id="108" w:name="_Toc509844759"/>
      <w:bookmarkStart w:id="109" w:name="_Toc14883"/>
      <w:r>
        <w:rPr>
          <w:rFonts w:hint="eastAsia"/>
        </w:rPr>
        <w:t>夏季工况</w:t>
      </w:r>
      <w:bookmarkEnd w:id="108"/>
      <w:bookmarkEnd w:id="109"/>
    </w:p>
    <w:p w14:paraId="51775BCE">
      <w:pPr>
        <w:ind w:firstLine="420"/>
      </w:pPr>
      <w:r>
        <w:rPr>
          <w:rFonts w:hint="eastAsia"/>
          <w:lang w:val="en-US"/>
        </w:rPr>
        <w:t>本项目夏季工况的入口边界风速为</w:t>
      </w:r>
      <w:bookmarkStart w:id="110" w:name="入口边界风速"/>
      <w:r>
        <w:rPr>
          <w:rFonts w:hint="eastAsia"/>
          <w:lang w:val="en-US"/>
        </w:rPr>
        <w:t>2.60</w:t>
      </w:r>
      <w:bookmarkEnd w:id="110"/>
      <w:r>
        <w:rPr>
          <w:rFonts w:hint="eastAsia"/>
          <w:lang w:val="en-US"/>
        </w:rPr>
        <w:t>m/s，风向为</w:t>
      </w:r>
      <w:bookmarkStart w:id="111" w:name="入口边界风向"/>
      <w:r>
        <w:t>NE</w:t>
      </w:r>
      <w:bookmarkEnd w:id="111"/>
      <w:r>
        <w:rPr>
          <w:rFonts w:hint="eastAsia"/>
          <w:lang w:val="en-US"/>
        </w:rPr>
        <w:t>。</w:t>
      </w:r>
    </w:p>
    <w:p w14:paraId="3ED7A21B">
      <w:pPr>
        <w:ind w:firstLine="420"/>
      </w:pPr>
      <w:r>
        <w:rPr>
          <w:rFonts w:hint="eastAsia"/>
          <w:lang w:val="en-US"/>
        </w:rPr>
        <w:t>根据前述《绿色建筑评价标准》 对于夏季工况的要求，夏季</w:t>
      </w:r>
      <w:bookmarkEnd w:id="5"/>
      <w:r>
        <w:rPr>
          <w:rFonts w:hint="eastAsia"/>
          <w:lang w:val="en-US"/>
        </w:rPr>
        <w:t>典型风速和风向条件下，场地内人活动区不出现涡旋或无风区。通过该项标准指导设计确保合理的建筑布局，在</w:t>
      </w:r>
      <w:bookmarkStart w:id="112" w:name="季节4"/>
      <w:r>
        <w:rPr>
          <w:rFonts w:hint="eastAsia"/>
          <w:lang w:val="en-US"/>
        </w:rPr>
        <w:t>夏季</w:t>
      </w:r>
      <w:bookmarkEnd w:id="112"/>
      <w:r>
        <w:rPr>
          <w:rFonts w:hint="eastAsia"/>
          <w:lang w:val="en-US"/>
        </w:rPr>
        <w:t>形成有效的巷道风，优化街区自然通风环境，避免</w:t>
      </w:r>
      <w:bookmarkStart w:id="113" w:name="季节5"/>
      <w:r>
        <w:rPr>
          <w:rFonts w:hint="eastAsia"/>
          <w:lang w:val="en-US"/>
        </w:rPr>
        <w:t>夏季</w:t>
      </w:r>
      <w:bookmarkEnd w:id="113"/>
      <w:r>
        <w:rPr>
          <w:rFonts w:hint="eastAsia"/>
          <w:lang w:val="en-US"/>
        </w:rPr>
        <w:t>人活动区有明显气流旋涡和无风区，从而造成闷热不适感。因此本项目需要分析人活动区的风速，并作出判断。</w:t>
      </w:r>
    </w:p>
    <w:p w14:paraId="5F01BBB3">
      <w:pPr>
        <w:ind w:firstLine="351"/>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14:paraId="1D6C5A09">
      <w:pPr>
        <w:pStyle w:val="3"/>
        <w:ind w:firstLine="351" w:firstLineChars="195"/>
        <w:rPr>
          <w:rFonts w:ascii="微软雅黑" w:hAnsi="微软雅黑" w:eastAsia="微软雅黑"/>
          <w:sz w:val="18"/>
          <w:szCs w:val="18"/>
        </w:rPr>
      </w:pPr>
      <w:r>
        <w:rPr>
          <w:rFonts w:hint="eastAsia" w:ascii="微软雅黑" w:hAnsi="微软雅黑" w:eastAsia="微软雅黑"/>
          <w:sz w:val="18"/>
          <w:szCs w:val="18"/>
          <w:lang w:val="en-US"/>
        </w:rPr>
        <w:t>注：无风区的定义参考《</w:t>
      </w:r>
      <w:r>
        <w:rPr>
          <w:rFonts w:hint="eastAsia" w:ascii="微软雅黑" w:hAnsi="微软雅黑" w:eastAsia="微软雅黑"/>
          <w:sz w:val="18"/>
          <w:szCs w:val="18"/>
        </w:rPr>
        <w:t>建筑设计资料集</w:t>
      </w:r>
      <w:r>
        <w:rPr>
          <w:rFonts w:hint="eastAsia" w:ascii="微软雅黑" w:hAnsi="微软雅黑" w:eastAsia="微软雅黑"/>
          <w:sz w:val="18"/>
          <w:szCs w:val="18"/>
          <w:lang w:val="en-US"/>
        </w:rPr>
        <w:t>》第一分册，第二版。</w:t>
      </w:r>
    </w:p>
    <w:p w14:paraId="23C17611">
      <w:pPr>
        <w:pStyle w:val="5"/>
      </w:pPr>
      <w:bookmarkStart w:id="114" w:name="_Toc509844760"/>
      <w:r>
        <w:rPr>
          <w:rFonts w:hint="eastAsia"/>
        </w:rPr>
        <w:t>无风区计算分析</w:t>
      </w:r>
      <w:bookmarkEnd w:id="114"/>
    </w:p>
    <w:p w14:paraId="026BCA2C">
      <w:pPr>
        <w:pStyle w:val="30"/>
        <w:ind w:firstLine="420"/>
      </w:pPr>
      <w:r>
        <w:rPr>
          <w:rFonts w:hint="eastAsia"/>
        </w:rPr>
        <w:t>下图为整个计算域内风速分布云图，参考图中速度分布可以对项目中建筑布局进行优化。分析下图，</w:t>
      </w:r>
      <w:bookmarkStart w:id="115" w:name="人活动区风速分析结论"/>
      <w:bookmarkEnd w:id="115"/>
      <w:r>
        <w:t>人活动区内未标示出风速</w:t>
      </w:r>
      <w:r>
        <w:rPr>
          <w:color w:val="0000FF"/>
        </w:rPr>
        <w:t>小于</w:t>
      </w:r>
      <w:r>
        <w:t>0.2m/s的超限区域，因此人活动区风速</w:t>
      </w:r>
      <w:r>
        <w:rPr>
          <w:color w:val="0000FF"/>
        </w:rPr>
        <w:t>满足</w:t>
      </w:r>
      <w:r>
        <w:t>绿标要求，项目可采用现有建筑布局。</w:t>
      </w:r>
    </w:p>
    <w:p w14:paraId="7721E84D">
      <w:pPr>
        <w:pStyle w:val="3"/>
        <w:spacing w:after="156" w:afterLines="50"/>
        <w:ind w:firstLine="0" w:firstLineChars="0"/>
        <w:jc w:val="center"/>
        <w:rPr>
          <w:rFonts w:ascii="微软雅黑" w:hAnsi="微软雅黑" w:eastAsia="微软雅黑"/>
        </w:rPr>
      </w:pPr>
      <w:bookmarkStart w:id="116" w:name="人行区风速云图"/>
      <w:bookmarkEnd w:id="116"/>
      <w:r>
        <w:drawing>
          <wp:inline distT="0" distB="0" distL="0" distR="0">
            <wp:extent cx="5667375" cy="339090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36"/>
                    <a:stretch>
                      <a:fillRect/>
                    </a:stretch>
                  </pic:blipFill>
                  <pic:spPr>
                    <a:xfrm>
                      <a:off x="0" y="0"/>
                      <a:ext cx="5667375" cy="3390900"/>
                    </a:xfrm>
                    <a:prstGeom prst="rect">
                      <a:avLst/>
                    </a:prstGeom>
                  </pic:spPr>
                </pic:pic>
              </a:graphicData>
            </a:graphic>
          </wp:inline>
        </w:drawing>
      </w:r>
    </w:p>
    <w:p w14:paraId="1448C491">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计算域内-1.5米高度水平面风速云图-夏季</w:t>
      </w:r>
    </w:p>
    <w:p w14:paraId="2C280A4B">
      <w:pPr>
        <w:pStyle w:val="3"/>
        <w:ind w:firstLine="420"/>
        <w:rPr>
          <w:rFonts w:ascii="微软雅黑" w:hAnsi="微软雅黑" w:eastAsia="微软雅黑"/>
        </w:rPr>
      </w:pPr>
    </w:p>
    <w:p w14:paraId="5F6D3F6B">
      <w:pPr>
        <w:pStyle w:val="5"/>
      </w:pPr>
      <w:bookmarkStart w:id="117" w:name="_Toc509844761"/>
      <w:r>
        <w:rPr>
          <w:rFonts w:hint="eastAsia"/>
        </w:rPr>
        <w:t>旋涡区分析</w:t>
      </w:r>
      <w:bookmarkEnd w:id="117"/>
    </w:p>
    <w:p w14:paraId="44A1EA86">
      <w:pPr>
        <w:pStyle w:val="3"/>
        <w:ind w:firstLine="420"/>
        <w:rPr>
          <w:rFonts w:ascii="微软雅黑" w:hAnsi="微软雅黑" w:eastAsia="微软雅黑"/>
          <w:lang w:val="en-US"/>
        </w:rPr>
      </w:pPr>
      <w:r>
        <w:rPr>
          <w:rFonts w:hint="eastAsia" w:ascii="微软雅黑" w:hAnsi="微软雅黑" w:eastAsia="微软雅黑"/>
          <w:lang w:val="en-US"/>
        </w:rPr>
        <w:t>下图为计算域内的风速矢量图，分析下图可知，计算域内没有明显的旋涡产生，本项目建筑布局基本合理。</w:t>
      </w:r>
    </w:p>
    <w:p w14:paraId="57C9E56B">
      <w:pPr>
        <w:pStyle w:val="3"/>
        <w:ind w:firstLine="0" w:firstLineChars="0"/>
        <w:jc w:val="center"/>
        <w:rPr>
          <w:rFonts w:ascii="微软雅黑" w:hAnsi="微软雅黑" w:eastAsia="微软雅黑"/>
          <w:lang w:val="en-US"/>
        </w:rPr>
      </w:pPr>
      <w:bookmarkStart w:id="118" w:name="人行区风速矢量图"/>
      <w:bookmarkEnd w:id="118"/>
      <w:r>
        <w:drawing>
          <wp:inline distT="0" distB="0" distL="0" distR="0">
            <wp:extent cx="5667375" cy="339090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37"/>
                    <a:stretch>
                      <a:fillRect/>
                    </a:stretch>
                  </pic:blipFill>
                  <pic:spPr>
                    <a:xfrm>
                      <a:off x="0" y="0"/>
                      <a:ext cx="5667375" cy="3390900"/>
                    </a:xfrm>
                    <a:prstGeom prst="rect">
                      <a:avLst/>
                    </a:prstGeom>
                  </pic:spPr>
                </pic:pic>
              </a:graphicData>
            </a:graphic>
          </wp:inline>
        </w:drawing>
      </w:r>
    </w:p>
    <w:p w14:paraId="4B787864">
      <w:pPr>
        <w:pStyle w:val="3"/>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计算域内-1.5米高度水平面风速矢量图</w:t>
      </w:r>
    </w:p>
    <w:p w14:paraId="18CD7DFD">
      <w:pPr>
        <w:pStyle w:val="3"/>
        <w:ind w:firstLine="420"/>
        <w:rPr>
          <w:rFonts w:ascii="微软雅黑" w:hAnsi="微软雅黑" w:eastAsia="微软雅黑"/>
          <w:lang w:val="en-US"/>
        </w:rPr>
      </w:pPr>
    </w:p>
    <w:p w14:paraId="66D3E7CE">
      <w:pPr>
        <w:pStyle w:val="5"/>
      </w:pPr>
      <w:bookmarkStart w:id="119" w:name="_Toc509844762"/>
      <w:r>
        <w:rPr>
          <w:rFonts w:hint="eastAsia"/>
        </w:rPr>
        <w:t>旋涡区/无风区达标</w:t>
      </w:r>
      <w:bookmarkEnd w:id="119"/>
      <w:r>
        <w:rPr>
          <w:rFonts w:hint="eastAsia"/>
        </w:rPr>
        <w:t>结果汇总</w:t>
      </w:r>
    </w:p>
    <w:p w14:paraId="36A972B3">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120" w:name="季节8"/>
      <w:r>
        <w:rPr>
          <w:rFonts w:hint="eastAsia" w:ascii="微软雅黑" w:hAnsi="微软雅黑" w:eastAsia="微软雅黑"/>
          <w:sz w:val="18"/>
          <w:szCs w:val="18"/>
        </w:rPr>
        <w:t>夏季</w:t>
      </w:r>
      <w:bookmarkEnd w:id="120"/>
      <w:r>
        <w:rPr>
          <w:rFonts w:hint="eastAsia" w:ascii="微软雅黑" w:hAnsi="微软雅黑" w:eastAsia="微软雅黑"/>
          <w:sz w:val="18"/>
          <w:szCs w:val="18"/>
        </w:rPr>
        <w:t>无风区/旋涡区达标分析汇总</w:t>
      </w:r>
    </w:p>
    <w:tbl>
      <w:tblPr>
        <w:tblStyle w:val="21"/>
        <w:tblW w:w="8222" w:type="dxa"/>
        <w:tblInd w:w="108" w:type="dxa"/>
        <w:tblLayout w:type="autofit"/>
        <w:tblCellMar>
          <w:top w:w="0" w:type="dxa"/>
          <w:left w:w="108" w:type="dxa"/>
          <w:bottom w:w="0" w:type="dxa"/>
          <w:right w:w="108" w:type="dxa"/>
        </w:tblCellMar>
      </w:tblPr>
      <w:tblGrid>
        <w:gridCol w:w="1418"/>
        <w:gridCol w:w="2551"/>
        <w:gridCol w:w="2551"/>
        <w:gridCol w:w="1702"/>
      </w:tblGrid>
      <w:tr w14:paraId="54F762D1">
        <w:tblPrEx>
          <w:tblCellMar>
            <w:top w:w="0" w:type="dxa"/>
            <w:left w:w="108" w:type="dxa"/>
            <w:bottom w:w="0" w:type="dxa"/>
            <w:right w:w="108" w:type="dxa"/>
          </w:tblCellMar>
        </w:tblPrEx>
        <w:trPr>
          <w:trHeight w:val="270" w:hRule="atLeast"/>
        </w:trPr>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C3425E">
            <w:pPr>
              <w:spacing w:line="440" w:lineRule="exact"/>
              <w:jc w:val="center"/>
              <w:rPr>
                <w:rFonts w:cs="宋体"/>
                <w:b/>
                <w:color w:val="000000"/>
                <w:sz w:val="18"/>
                <w:szCs w:val="18"/>
                <w:lang w:val="en-US"/>
              </w:rPr>
            </w:pPr>
            <w:r>
              <w:rPr>
                <w:rFonts w:hint="eastAsia" w:cs="宋体"/>
                <w:b/>
                <w:color w:val="000000"/>
                <w:sz w:val="18"/>
                <w:szCs w:val="18"/>
                <w:lang w:val="en-US"/>
              </w:rPr>
              <w:t>评价量</w:t>
            </w:r>
          </w:p>
        </w:tc>
        <w:tc>
          <w:tcPr>
            <w:tcW w:w="2551" w:type="dxa"/>
            <w:tcBorders>
              <w:top w:val="single" w:color="auto" w:sz="4" w:space="0"/>
              <w:left w:val="nil"/>
              <w:bottom w:val="single" w:color="auto" w:sz="4" w:space="0"/>
              <w:right w:val="single" w:color="auto" w:sz="4" w:space="0"/>
            </w:tcBorders>
            <w:shd w:val="clear" w:color="auto" w:fill="auto"/>
            <w:noWrap/>
            <w:vAlign w:val="center"/>
          </w:tcPr>
          <w:p w14:paraId="2F2E0A2C">
            <w:pPr>
              <w:spacing w:line="440" w:lineRule="exact"/>
              <w:jc w:val="center"/>
              <w:rPr>
                <w:rFonts w:cs="宋体"/>
                <w:b/>
                <w:color w:val="000000"/>
                <w:sz w:val="18"/>
                <w:szCs w:val="18"/>
                <w:lang w:val="en-US"/>
              </w:rPr>
            </w:pPr>
            <w:r>
              <w:rPr>
                <w:rFonts w:hint="eastAsia" w:cs="宋体"/>
                <w:b/>
                <w:color w:val="000000"/>
                <w:sz w:val="18"/>
                <w:szCs w:val="18"/>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14:paraId="2243CE17">
            <w:pPr>
              <w:spacing w:line="440" w:lineRule="exact"/>
              <w:jc w:val="center"/>
              <w:rPr>
                <w:rFonts w:cs="宋体"/>
                <w:b/>
                <w:color w:val="000000"/>
                <w:sz w:val="18"/>
                <w:szCs w:val="18"/>
                <w:lang w:val="en-US"/>
              </w:rPr>
            </w:pPr>
            <w:r>
              <w:rPr>
                <w:rFonts w:hint="eastAsia" w:cs="宋体"/>
                <w:b/>
                <w:color w:val="000000"/>
                <w:sz w:val="18"/>
                <w:szCs w:val="18"/>
                <w:lang w:val="en-US"/>
              </w:rPr>
              <w:t>是否有无风区/旋涡区</w:t>
            </w:r>
          </w:p>
        </w:tc>
        <w:tc>
          <w:tcPr>
            <w:tcW w:w="1702" w:type="dxa"/>
            <w:tcBorders>
              <w:top w:val="single" w:color="auto" w:sz="4" w:space="0"/>
              <w:left w:val="nil"/>
              <w:bottom w:val="single" w:color="auto" w:sz="4" w:space="0"/>
              <w:right w:val="single" w:color="auto" w:sz="4" w:space="0"/>
            </w:tcBorders>
            <w:shd w:val="clear" w:color="auto" w:fill="auto"/>
            <w:noWrap/>
            <w:vAlign w:val="center"/>
          </w:tcPr>
          <w:p w14:paraId="2F56FCE5">
            <w:pPr>
              <w:spacing w:line="440" w:lineRule="exact"/>
              <w:jc w:val="center"/>
              <w:rPr>
                <w:rFonts w:cs="宋体"/>
                <w:b/>
                <w:color w:val="000000"/>
                <w:sz w:val="18"/>
                <w:szCs w:val="18"/>
                <w:lang w:val="en-US"/>
              </w:rPr>
            </w:pPr>
            <w:r>
              <w:rPr>
                <w:rFonts w:hint="eastAsia" w:cs="宋体"/>
                <w:b/>
                <w:color w:val="000000"/>
                <w:sz w:val="18"/>
                <w:szCs w:val="18"/>
                <w:lang w:val="en-US"/>
              </w:rPr>
              <w:t>达标判断</w:t>
            </w:r>
          </w:p>
        </w:tc>
      </w:tr>
      <w:tr w14:paraId="6FF202F8">
        <w:tblPrEx>
          <w:tblCellMar>
            <w:top w:w="0" w:type="dxa"/>
            <w:left w:w="108" w:type="dxa"/>
            <w:bottom w:w="0" w:type="dxa"/>
            <w:right w:w="108" w:type="dxa"/>
          </w:tblCellMar>
        </w:tblPrEx>
        <w:trPr>
          <w:trHeight w:val="27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14:paraId="125FE2DF">
            <w:pPr>
              <w:spacing w:line="440" w:lineRule="exact"/>
              <w:jc w:val="center"/>
              <w:rPr>
                <w:rFonts w:cs="宋体"/>
                <w:sz w:val="18"/>
                <w:szCs w:val="18"/>
              </w:rPr>
            </w:pPr>
            <w:r>
              <w:rPr>
                <w:rFonts w:hint="eastAsia" w:cs="宋体"/>
                <w:sz w:val="18"/>
                <w:szCs w:val="18"/>
              </w:rPr>
              <w:t>无风区</w:t>
            </w:r>
          </w:p>
        </w:tc>
        <w:tc>
          <w:tcPr>
            <w:tcW w:w="2551" w:type="dxa"/>
            <w:tcBorders>
              <w:top w:val="nil"/>
              <w:left w:val="nil"/>
              <w:bottom w:val="single" w:color="auto" w:sz="4" w:space="0"/>
              <w:right w:val="single" w:color="auto" w:sz="4" w:space="0"/>
            </w:tcBorders>
            <w:shd w:val="clear" w:color="auto" w:fill="auto"/>
            <w:noWrap/>
            <w:vAlign w:val="center"/>
          </w:tcPr>
          <w:p w14:paraId="0C33A9CE">
            <w:pPr>
              <w:spacing w:line="440" w:lineRule="exact"/>
              <w:jc w:val="center"/>
              <w:rPr>
                <w:rFonts w:cs="宋体"/>
                <w:sz w:val="18"/>
                <w:szCs w:val="18"/>
              </w:rPr>
            </w:pPr>
            <w:r>
              <w:rPr>
                <w:rFonts w:hint="eastAsia" w:cs="宋体"/>
                <w:sz w:val="18"/>
                <w:szCs w:val="18"/>
              </w:rPr>
              <w:t>无风区面积为0</w:t>
            </w:r>
          </w:p>
        </w:tc>
        <w:tc>
          <w:tcPr>
            <w:tcW w:w="2551" w:type="dxa"/>
            <w:tcBorders>
              <w:top w:val="nil"/>
              <w:left w:val="nil"/>
              <w:bottom w:val="single" w:color="auto" w:sz="4" w:space="0"/>
              <w:right w:val="single" w:color="auto" w:sz="4" w:space="0"/>
            </w:tcBorders>
            <w:shd w:val="clear" w:color="auto" w:fill="auto"/>
            <w:noWrap/>
            <w:vAlign w:val="center"/>
          </w:tcPr>
          <w:p w14:paraId="55FE76C9">
            <w:pPr>
              <w:spacing w:line="440" w:lineRule="exact"/>
              <w:jc w:val="center"/>
              <w:rPr>
                <w:rFonts w:cs="宋体"/>
                <w:color w:val="000000"/>
                <w:sz w:val="18"/>
                <w:szCs w:val="18"/>
                <w:lang w:val="en-US"/>
              </w:rPr>
            </w:pPr>
            <w:bookmarkStart w:id="121" w:name="是否有无风区"/>
            <w:r>
              <w:rPr>
                <w:rFonts w:hint="eastAsia" w:cs="宋体"/>
                <w:color w:val="000000"/>
                <w:sz w:val="18"/>
                <w:szCs w:val="18"/>
                <w:lang w:val="en-US"/>
              </w:rPr>
              <w:t>否</w:t>
            </w:r>
            <w:bookmarkEnd w:id="121"/>
          </w:p>
        </w:tc>
        <w:tc>
          <w:tcPr>
            <w:tcW w:w="1702" w:type="dxa"/>
            <w:tcBorders>
              <w:top w:val="nil"/>
              <w:left w:val="nil"/>
              <w:bottom w:val="single" w:color="auto" w:sz="4" w:space="0"/>
              <w:right w:val="single" w:color="auto" w:sz="4" w:space="0"/>
            </w:tcBorders>
            <w:shd w:val="clear" w:color="auto" w:fill="auto"/>
            <w:noWrap/>
            <w:vAlign w:val="center"/>
          </w:tcPr>
          <w:p w14:paraId="65D19C74">
            <w:pPr>
              <w:spacing w:line="440" w:lineRule="exact"/>
              <w:jc w:val="center"/>
              <w:rPr>
                <w:rFonts w:cs="宋体"/>
                <w:color w:val="000000"/>
                <w:sz w:val="18"/>
                <w:szCs w:val="18"/>
                <w:lang w:val="en-US"/>
              </w:rPr>
            </w:pPr>
            <w:bookmarkStart w:id="122" w:name="无风区达标判断"/>
            <w:r>
              <w:rPr>
                <w:rFonts w:hint="eastAsia" w:cs="宋体"/>
                <w:color w:val="000000"/>
                <w:sz w:val="18"/>
                <w:szCs w:val="18"/>
                <w:lang w:val="en-US"/>
              </w:rPr>
              <w:t>是</w:t>
            </w:r>
            <w:bookmarkEnd w:id="122"/>
          </w:p>
        </w:tc>
      </w:tr>
      <w:tr w14:paraId="1F76582F">
        <w:tblPrEx>
          <w:tblCellMar>
            <w:top w:w="0" w:type="dxa"/>
            <w:left w:w="108" w:type="dxa"/>
            <w:bottom w:w="0" w:type="dxa"/>
            <w:right w:w="108" w:type="dxa"/>
          </w:tblCellMar>
        </w:tblPrEx>
        <w:trPr>
          <w:trHeight w:val="27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14:paraId="1E33A10D">
            <w:pPr>
              <w:spacing w:line="440" w:lineRule="exact"/>
              <w:jc w:val="center"/>
              <w:rPr>
                <w:rFonts w:cs="宋体"/>
                <w:sz w:val="18"/>
                <w:szCs w:val="18"/>
              </w:rPr>
            </w:pPr>
            <w:r>
              <w:rPr>
                <w:rFonts w:hint="eastAsia" w:cs="宋体"/>
                <w:sz w:val="18"/>
                <w:szCs w:val="18"/>
              </w:rPr>
              <w:t>旋涡区</w:t>
            </w:r>
          </w:p>
        </w:tc>
        <w:tc>
          <w:tcPr>
            <w:tcW w:w="2551" w:type="dxa"/>
            <w:tcBorders>
              <w:top w:val="nil"/>
              <w:left w:val="nil"/>
              <w:bottom w:val="single" w:color="auto" w:sz="4" w:space="0"/>
              <w:right w:val="single" w:color="auto" w:sz="4" w:space="0"/>
            </w:tcBorders>
            <w:shd w:val="clear" w:color="auto" w:fill="auto"/>
            <w:noWrap/>
            <w:vAlign w:val="center"/>
          </w:tcPr>
          <w:p w14:paraId="5372B7B9">
            <w:pPr>
              <w:spacing w:line="440" w:lineRule="exact"/>
              <w:jc w:val="center"/>
              <w:rPr>
                <w:rFonts w:cs="宋体"/>
                <w:sz w:val="18"/>
                <w:szCs w:val="18"/>
              </w:rPr>
            </w:pPr>
            <w:r>
              <w:rPr>
                <w:rFonts w:hint="eastAsia" w:cs="宋体"/>
                <w:sz w:val="18"/>
                <w:szCs w:val="18"/>
              </w:rPr>
              <w:t>旋涡区面积为0</w:t>
            </w:r>
          </w:p>
        </w:tc>
        <w:tc>
          <w:tcPr>
            <w:tcW w:w="2551" w:type="dxa"/>
            <w:tcBorders>
              <w:top w:val="nil"/>
              <w:left w:val="nil"/>
              <w:bottom w:val="single" w:color="auto" w:sz="4" w:space="0"/>
              <w:right w:val="single" w:color="auto" w:sz="4" w:space="0"/>
            </w:tcBorders>
            <w:shd w:val="clear" w:color="auto" w:fill="auto"/>
            <w:noWrap/>
            <w:vAlign w:val="center"/>
          </w:tcPr>
          <w:p w14:paraId="30FBBC8B">
            <w:pPr>
              <w:spacing w:line="440" w:lineRule="exact"/>
              <w:jc w:val="center"/>
              <w:rPr>
                <w:rFonts w:cs="宋体"/>
                <w:color w:val="000000"/>
                <w:sz w:val="18"/>
                <w:szCs w:val="18"/>
                <w:lang w:val="en-US"/>
              </w:rPr>
            </w:pPr>
            <w:bookmarkStart w:id="123" w:name="是否有旋涡区"/>
            <w:r>
              <w:rPr>
                <w:rFonts w:cs="宋体"/>
                <w:color w:val="000000"/>
                <w:sz w:val="18"/>
                <w:szCs w:val="18"/>
                <w:lang w:val="en-US"/>
              </w:rPr>
              <w:t>否</w:t>
            </w:r>
            <w:bookmarkEnd w:id="123"/>
          </w:p>
        </w:tc>
        <w:tc>
          <w:tcPr>
            <w:tcW w:w="1702" w:type="dxa"/>
            <w:tcBorders>
              <w:top w:val="nil"/>
              <w:left w:val="nil"/>
              <w:bottom w:val="single" w:color="auto" w:sz="4" w:space="0"/>
              <w:right w:val="single" w:color="auto" w:sz="4" w:space="0"/>
            </w:tcBorders>
            <w:shd w:val="clear" w:color="auto" w:fill="auto"/>
            <w:noWrap/>
            <w:vAlign w:val="center"/>
          </w:tcPr>
          <w:p w14:paraId="7F1F79C3">
            <w:pPr>
              <w:spacing w:line="440" w:lineRule="exact"/>
              <w:jc w:val="center"/>
              <w:rPr>
                <w:rFonts w:cs="宋体"/>
                <w:color w:val="000000"/>
                <w:sz w:val="18"/>
                <w:szCs w:val="18"/>
                <w:lang w:val="en-US"/>
              </w:rPr>
            </w:pPr>
            <w:bookmarkStart w:id="124" w:name="旋涡区达标判断"/>
            <w:r>
              <w:rPr>
                <w:rFonts w:cs="宋体"/>
                <w:color w:val="000000"/>
                <w:sz w:val="18"/>
                <w:szCs w:val="18"/>
                <w:lang w:val="en-US"/>
              </w:rPr>
              <w:t>是</w:t>
            </w:r>
            <w:bookmarkEnd w:id="124"/>
          </w:p>
        </w:tc>
      </w:tr>
    </w:tbl>
    <w:p w14:paraId="36896139">
      <w:pPr>
        <w:pStyle w:val="5"/>
      </w:pPr>
      <w:bookmarkStart w:id="125" w:name="_Toc504501018"/>
      <w:bookmarkStart w:id="126" w:name="_Toc509844763"/>
      <w:r>
        <w:rPr>
          <w:rFonts w:hint="eastAsia"/>
        </w:rPr>
        <w:t>外窗内外表面风压</w:t>
      </w:r>
      <w:bookmarkEnd w:id="125"/>
      <w:r>
        <w:rPr>
          <w:rFonts w:hint="eastAsia"/>
        </w:rPr>
        <w:t>差达标分析</w:t>
      </w:r>
      <w:bookmarkEnd w:id="126"/>
    </w:p>
    <w:p w14:paraId="4F2EA5A9">
      <w:pPr>
        <w:ind w:firstLine="420"/>
      </w:pPr>
      <w:r>
        <w:rPr>
          <w:rFonts w:hint="eastAsia"/>
          <w:lang w:val="en-US"/>
        </w:rPr>
        <w:t>分析《绿色建筑评价标准》，</w:t>
      </w:r>
      <w:bookmarkStart w:id="127" w:name="季节9"/>
      <w:r>
        <w:rPr>
          <w:rFonts w:hint="eastAsia"/>
          <w:lang w:val="en-US"/>
        </w:rPr>
        <w:t>夏季</w:t>
      </w:r>
      <w:bookmarkEnd w:id="127"/>
      <w:r>
        <w:rPr>
          <w:rFonts w:hint="eastAsia"/>
          <w:lang w:val="en-US"/>
        </w:rPr>
        <w:t>为充分利用自然通风获得良好的室内风环境，要求50%以上可开启外窗室内外表面的风压差大于0.5Pa。</w:t>
      </w:r>
    </w:p>
    <w:p w14:paraId="70DABD63">
      <w:pPr>
        <w:ind w:firstLine="420"/>
      </w:pPr>
      <w:r>
        <w:rPr>
          <w:rFonts w:hint="eastAsia"/>
          <w:lang w:val="en-US"/>
        </w:rPr>
        <w:t>可见在夏季，为了获得良好室内风环境，首先要有良好的室外风环境。当外窗关闭时，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14:paraId="3B76857F">
      <w:pPr>
        <w:ind w:firstLine="420"/>
      </w:pPr>
      <w:r>
        <w:rPr>
          <w:rFonts w:hint="eastAsia"/>
          <w:lang w:val="en-US"/>
        </w:rPr>
        <w:t>下图为夏季工况下，建筑迎风面和背风面对应外窗表面的风压分布图，结合图例数值可以清晰看到外窗表面风压小于0.5Pa的外窗区域。</w:t>
      </w:r>
    </w:p>
    <w:p w14:paraId="68A339C2">
      <w:pPr>
        <w:pStyle w:val="3"/>
        <w:ind w:firstLine="0" w:firstLineChars="0"/>
        <w:jc w:val="center"/>
        <w:rPr>
          <w:rFonts w:ascii="微软雅黑" w:hAnsi="微软雅黑" w:eastAsia="微软雅黑"/>
        </w:rPr>
      </w:pPr>
      <w:bookmarkStart w:id="128" w:name="迎风面风压云图"/>
      <w:bookmarkEnd w:id="128"/>
      <w:r>
        <w:drawing>
          <wp:inline distT="0" distB="0" distL="0" distR="0">
            <wp:extent cx="5667375" cy="335280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38"/>
                    <a:stretch>
                      <a:fillRect/>
                    </a:stretch>
                  </pic:blipFill>
                  <pic:spPr>
                    <a:xfrm>
                      <a:off x="0" y="0"/>
                      <a:ext cx="5667375" cy="3352800"/>
                    </a:xfrm>
                    <a:prstGeom prst="rect">
                      <a:avLst/>
                    </a:prstGeom>
                  </pic:spPr>
                </pic:pic>
              </a:graphicData>
            </a:graphic>
          </wp:inline>
        </w:drawing>
      </w:r>
    </w:p>
    <w:p w14:paraId="55DDA344">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建筑迎风面外窗表面风压云图-</w:t>
      </w:r>
      <w:bookmarkStart w:id="129" w:name="季节10"/>
      <w:r>
        <w:rPr>
          <w:rFonts w:hint="eastAsia" w:ascii="微软雅黑" w:hAnsi="微软雅黑" w:eastAsia="微软雅黑"/>
          <w:sz w:val="18"/>
          <w:szCs w:val="18"/>
        </w:rPr>
        <w:t>夏季</w:t>
      </w:r>
      <w:bookmarkEnd w:id="129"/>
    </w:p>
    <w:p w14:paraId="691DA5B4">
      <w:pPr>
        <w:jc w:val="center"/>
        <w:rPr>
          <w:rFonts w:ascii="微软雅黑" w:hAnsi="微软雅黑" w:eastAsia="微软雅黑"/>
          <w:sz w:val="21"/>
        </w:rPr>
      </w:pPr>
      <w:bookmarkStart w:id="130" w:name="背风面风压云图"/>
      <w:bookmarkEnd w:id="130"/>
      <w:r>
        <w:drawing>
          <wp:inline distT="0" distB="0" distL="0" distR="0">
            <wp:extent cx="5667375" cy="336232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39"/>
                    <a:stretch>
                      <a:fillRect/>
                    </a:stretch>
                  </pic:blipFill>
                  <pic:spPr>
                    <a:xfrm>
                      <a:off x="0" y="0"/>
                      <a:ext cx="5667375" cy="3362325"/>
                    </a:xfrm>
                    <a:prstGeom prst="rect">
                      <a:avLst/>
                    </a:prstGeom>
                  </pic:spPr>
                </pic:pic>
              </a:graphicData>
            </a:graphic>
          </wp:inline>
        </w:drawing>
      </w:r>
    </w:p>
    <w:p w14:paraId="2A8B57F6">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建筑背风面外窗表面风压云图-</w:t>
      </w:r>
      <w:bookmarkStart w:id="131" w:name="季节11"/>
      <w:r>
        <w:rPr>
          <w:rFonts w:hint="eastAsia" w:ascii="微软雅黑" w:hAnsi="微软雅黑" w:eastAsia="微软雅黑"/>
          <w:sz w:val="18"/>
          <w:szCs w:val="18"/>
        </w:rPr>
        <w:t>夏季</w:t>
      </w:r>
      <w:bookmarkEnd w:id="131"/>
      <w:r>
        <w:rPr>
          <w:rFonts w:hint="eastAsia" w:ascii="微软雅黑" w:hAnsi="微软雅黑" w:eastAsia="微软雅黑"/>
          <w:sz w:val="18"/>
          <w:szCs w:val="18"/>
        </w:rPr>
        <w:t xml:space="preserve"> </w:t>
      </w:r>
    </w:p>
    <w:p w14:paraId="18BA7C35">
      <w:pPr>
        <w:ind w:firstLine="420"/>
      </w:pPr>
      <w:r>
        <w:rPr>
          <w:rFonts w:hint="eastAsia"/>
        </w:rPr>
        <w:t>下表为依据上图提取的外窗外表面平均风压数据，相当于外窗室内外表面风压差数据，并依据标准做出达标判断：</w:t>
      </w:r>
    </w:p>
    <w:p w14:paraId="4C118426">
      <w:pPr>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建筑外窗室内外风压差达标判定表</w:t>
      </w:r>
    </w:p>
    <w:tbl>
      <w:tblPr>
        <w:tblStyle w:val="21"/>
        <w:tblW w:w="8484"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4"/>
        <w:gridCol w:w="1843"/>
        <w:gridCol w:w="2552"/>
        <w:gridCol w:w="1559"/>
        <w:gridCol w:w="1276"/>
      </w:tblGrid>
      <w:tr w14:paraId="23A3D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blHeader/>
        </w:trPr>
        <w:tc>
          <w:tcPr>
            <w:tcW w:w="1254" w:type="dxa"/>
            <w:shd w:val="clear" w:color="auto" w:fill="E6E6E6"/>
            <w:vAlign w:val="center"/>
          </w:tcPr>
          <w:p w14:paraId="7397F85B">
            <w:pPr>
              <w:jc w:val="center"/>
              <w:rPr>
                <w:sz w:val="18"/>
                <w:szCs w:val="18"/>
                <w:lang w:val="en-US"/>
              </w:rPr>
            </w:pPr>
            <w:bookmarkStart w:id="132" w:name="建筑外窗室内外风压差达标判定"/>
            <w:r>
              <w:rPr>
                <w:rFonts w:hint="eastAsia"/>
                <w:sz w:val="18"/>
                <w:szCs w:val="18"/>
                <w:lang w:val="en-US"/>
              </w:rPr>
              <w:t>建筑编号</w:t>
            </w:r>
          </w:p>
        </w:tc>
        <w:tc>
          <w:tcPr>
            <w:tcW w:w="1843" w:type="dxa"/>
            <w:shd w:val="clear" w:color="auto" w:fill="E6E6E6"/>
            <w:vAlign w:val="center"/>
          </w:tcPr>
          <w:p w14:paraId="1309FA28">
            <w:pPr>
              <w:jc w:val="center"/>
              <w:rPr>
                <w:sz w:val="18"/>
                <w:szCs w:val="18"/>
                <w:lang w:val="en-US"/>
              </w:rPr>
            </w:pPr>
            <w:r>
              <w:rPr>
                <w:rFonts w:hint="eastAsia"/>
                <w:sz w:val="18"/>
                <w:szCs w:val="18"/>
                <w:lang w:val="en-US"/>
              </w:rPr>
              <w:t>可开启外窗总数</w:t>
            </w:r>
          </w:p>
        </w:tc>
        <w:tc>
          <w:tcPr>
            <w:tcW w:w="2552" w:type="dxa"/>
            <w:shd w:val="clear" w:color="auto" w:fill="E6E6E6"/>
            <w:vAlign w:val="center"/>
          </w:tcPr>
          <w:p w14:paraId="2C62257F">
            <w:pPr>
              <w:jc w:val="center"/>
              <w:rPr>
                <w:sz w:val="18"/>
                <w:szCs w:val="18"/>
                <w:lang w:val="en-US"/>
              </w:rPr>
            </w:pPr>
            <w:r>
              <w:rPr>
                <w:rFonts w:hint="eastAsia"/>
                <w:sz w:val="18"/>
                <w:szCs w:val="18"/>
                <w:lang w:val="en-US"/>
              </w:rPr>
              <w:t>室内外风压差大于0.5Pa的外窗总数</w:t>
            </w:r>
          </w:p>
        </w:tc>
        <w:tc>
          <w:tcPr>
            <w:tcW w:w="1559" w:type="dxa"/>
            <w:shd w:val="clear" w:color="auto" w:fill="E6E6E6"/>
            <w:vAlign w:val="center"/>
          </w:tcPr>
          <w:p w14:paraId="5D7F53EF">
            <w:pPr>
              <w:jc w:val="center"/>
              <w:rPr>
                <w:sz w:val="18"/>
                <w:szCs w:val="18"/>
                <w:lang w:val="en-US"/>
              </w:rPr>
            </w:pPr>
            <w:r>
              <w:rPr>
                <w:rFonts w:hint="eastAsia"/>
                <w:sz w:val="18"/>
                <w:szCs w:val="18"/>
                <w:lang w:val="en-US"/>
              </w:rPr>
              <w:t>达标比例（%）</w:t>
            </w:r>
          </w:p>
        </w:tc>
        <w:tc>
          <w:tcPr>
            <w:tcW w:w="1276" w:type="dxa"/>
            <w:shd w:val="clear" w:color="auto" w:fill="E6E6E6"/>
            <w:vAlign w:val="center"/>
          </w:tcPr>
          <w:p w14:paraId="0D013AA2">
            <w:pPr>
              <w:jc w:val="center"/>
              <w:rPr>
                <w:sz w:val="18"/>
                <w:szCs w:val="18"/>
                <w:lang w:val="en-US"/>
              </w:rPr>
            </w:pPr>
            <w:r>
              <w:rPr>
                <w:rFonts w:hint="eastAsia"/>
                <w:sz w:val="18"/>
                <w:szCs w:val="18"/>
                <w:lang w:val="en-US"/>
              </w:rPr>
              <w:t>是否达标</w:t>
            </w:r>
          </w:p>
        </w:tc>
      </w:tr>
      <w:tr w14:paraId="22183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54" w:type="dxa"/>
            <w:shd w:val="clear" w:color="auto" w:fill="auto"/>
            <w:vAlign w:val="center"/>
          </w:tcPr>
          <w:p w14:paraId="06151C25">
            <w:pPr>
              <w:jc w:val="center"/>
              <w:rPr>
                <w:sz w:val="18"/>
                <w:szCs w:val="18"/>
                <w:lang w:val="en-US"/>
              </w:rPr>
            </w:pPr>
            <w:r>
              <w:rPr>
                <w:sz w:val="18"/>
                <w:szCs w:val="18"/>
                <w:lang w:val="en-US"/>
              </w:rPr>
              <w:t>单体</w:t>
            </w:r>
          </w:p>
        </w:tc>
        <w:tc>
          <w:tcPr>
            <w:tcW w:w="1843" w:type="dxa"/>
            <w:shd w:val="clear" w:color="auto" w:fill="auto"/>
            <w:vAlign w:val="center"/>
          </w:tcPr>
          <w:p w14:paraId="68866F1E">
            <w:pPr>
              <w:jc w:val="center"/>
              <w:rPr>
                <w:sz w:val="18"/>
                <w:szCs w:val="18"/>
                <w:lang w:val="en-US"/>
              </w:rPr>
            </w:pPr>
            <w:r>
              <w:rPr>
                <w:sz w:val="18"/>
                <w:szCs w:val="18"/>
                <w:lang w:val="en-US"/>
              </w:rPr>
              <w:t>221</w:t>
            </w:r>
          </w:p>
        </w:tc>
        <w:tc>
          <w:tcPr>
            <w:tcW w:w="2552" w:type="dxa"/>
            <w:shd w:val="clear" w:color="auto" w:fill="auto"/>
            <w:vAlign w:val="center"/>
          </w:tcPr>
          <w:p w14:paraId="478E6BC6">
            <w:pPr>
              <w:jc w:val="center"/>
              <w:rPr>
                <w:sz w:val="18"/>
                <w:szCs w:val="18"/>
                <w:lang w:val="en-US"/>
              </w:rPr>
            </w:pPr>
            <w:r>
              <w:rPr>
                <w:sz w:val="18"/>
                <w:szCs w:val="18"/>
                <w:lang w:val="en-US"/>
              </w:rPr>
              <w:t>221</w:t>
            </w:r>
          </w:p>
        </w:tc>
        <w:tc>
          <w:tcPr>
            <w:tcW w:w="1559" w:type="dxa"/>
            <w:shd w:val="clear" w:color="auto" w:fill="auto"/>
            <w:vAlign w:val="center"/>
          </w:tcPr>
          <w:p w14:paraId="4ED4832F">
            <w:pPr>
              <w:jc w:val="center"/>
              <w:rPr>
                <w:sz w:val="18"/>
                <w:szCs w:val="18"/>
                <w:lang w:val="en-US"/>
              </w:rPr>
            </w:pPr>
            <w:r>
              <w:rPr>
                <w:sz w:val="18"/>
                <w:szCs w:val="18"/>
                <w:lang w:val="en-US"/>
              </w:rPr>
              <w:t>100.00</w:t>
            </w:r>
          </w:p>
        </w:tc>
        <w:tc>
          <w:tcPr>
            <w:tcW w:w="1276" w:type="dxa"/>
            <w:shd w:val="clear" w:color="auto" w:fill="auto"/>
            <w:vAlign w:val="center"/>
          </w:tcPr>
          <w:p w14:paraId="5343777C">
            <w:pPr>
              <w:jc w:val="center"/>
              <w:rPr>
                <w:sz w:val="18"/>
                <w:szCs w:val="18"/>
                <w:lang w:val="en-US"/>
              </w:rPr>
            </w:pPr>
            <w:r>
              <w:rPr>
                <w:sz w:val="18"/>
                <w:szCs w:val="18"/>
                <w:lang w:val="en-US"/>
              </w:rPr>
              <w:t>是</w:t>
            </w:r>
          </w:p>
        </w:tc>
      </w:tr>
      <w:bookmarkEnd w:id="132"/>
    </w:tbl>
    <w:p w14:paraId="01774116">
      <w:pPr>
        <w:rPr>
          <w:sz w:val="18"/>
          <w:szCs w:val="18"/>
        </w:rPr>
      </w:pPr>
      <w:r>
        <w:rPr>
          <w:rFonts w:hint="eastAsia"/>
          <w:sz w:val="18"/>
          <w:szCs w:val="18"/>
          <w:lang w:val="en-US"/>
        </w:rPr>
        <w:t>说明：达标比例＝（室内外风压差大于0.5Pa的总数/可开启外窗总数）*100％</w:t>
      </w:r>
    </w:p>
    <w:bookmarkEnd w:id="24"/>
    <w:p w14:paraId="2ED3AB03">
      <w:pPr>
        <w:rPr>
          <w:lang w:val="en-US"/>
        </w:rPr>
      </w:pPr>
    </w:p>
    <w:p w14:paraId="0529EB98">
      <w:pPr>
        <w:ind w:firstLine="420"/>
      </w:pPr>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0A8C4325">
      <w:pPr>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2 \s </w:instrText>
      </w:r>
      <w:r>
        <w:rPr>
          <w:rFonts w:ascii="微软雅黑" w:hAnsi="微软雅黑" w:eastAsia="微软雅黑"/>
          <w:sz w:val="18"/>
          <w:szCs w:val="18"/>
        </w:rPr>
        <w:fldChar w:fldCharType="separate"/>
      </w:r>
      <w:r>
        <w:rPr>
          <w:rFonts w:ascii="微软雅黑" w:hAnsi="微软雅黑" w:eastAsia="微软雅黑"/>
          <w:sz w:val="18"/>
          <w:szCs w:val="18"/>
        </w:rPr>
        <w:t>5.3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w:instrText>
      </w:r>
      <w:r>
        <w:rPr>
          <w:rFonts w:hint="eastAsia" w:ascii="微软雅黑" w:hAnsi="微软雅黑" w:eastAsia="微软雅黑"/>
          <w:sz w:val="18"/>
          <w:szCs w:val="18"/>
        </w:rPr>
        <w:instrText xml:space="preserve">表</w:instrText>
      </w:r>
      <w:r>
        <w:rPr>
          <w:rFonts w:ascii="微软雅黑" w:hAnsi="微软雅黑" w:eastAsia="微软雅黑"/>
          <w:sz w:val="18"/>
          <w:szCs w:val="18"/>
        </w:rPr>
        <w:instrText xml:space="preserve"> \* ARABIC \s 2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建筑室内外风压差达标判定表</w:t>
      </w:r>
    </w:p>
    <w:tbl>
      <w:tblPr>
        <w:tblStyle w:val="21"/>
        <w:tblW w:w="821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273"/>
        <w:gridCol w:w="1335"/>
        <w:gridCol w:w="3484"/>
        <w:gridCol w:w="1085"/>
        <w:gridCol w:w="1042"/>
      </w:tblGrid>
      <w:tr w14:paraId="2EB5E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shd w:val="clear" w:color="auto" w:fill="E6E6E6"/>
            <w:vAlign w:val="center"/>
          </w:tcPr>
          <w:p w14:paraId="60E8CF5A">
            <w:pPr>
              <w:spacing w:line="440" w:lineRule="exact"/>
              <w:jc w:val="center"/>
              <w:rPr>
                <w:sz w:val="18"/>
                <w:szCs w:val="18"/>
                <w:lang w:val="en-US"/>
              </w:rPr>
            </w:pPr>
            <w:bookmarkStart w:id="133" w:name="建筑室内外风压差达标判定"/>
            <w:r>
              <w:rPr>
                <w:rFonts w:hint="eastAsia"/>
                <w:sz w:val="18"/>
                <w:szCs w:val="18"/>
                <w:lang w:val="en-US"/>
              </w:rPr>
              <w:t>建筑编号</w:t>
            </w:r>
          </w:p>
        </w:tc>
        <w:tc>
          <w:tcPr>
            <w:tcW w:w="1335" w:type="dxa"/>
            <w:shd w:val="clear" w:color="auto" w:fill="E6E6E6"/>
            <w:vAlign w:val="center"/>
          </w:tcPr>
          <w:p w14:paraId="244270C9">
            <w:pPr>
              <w:spacing w:line="440" w:lineRule="exact"/>
              <w:jc w:val="center"/>
              <w:rPr>
                <w:sz w:val="18"/>
                <w:szCs w:val="18"/>
                <w:lang w:val="en-US"/>
              </w:rPr>
            </w:pPr>
            <w:r>
              <w:rPr>
                <w:rFonts w:hint="eastAsia"/>
                <w:sz w:val="18"/>
                <w:szCs w:val="18"/>
                <w:lang w:val="en-US"/>
              </w:rPr>
              <w:t>建筑表面积（㎡）</w:t>
            </w:r>
          </w:p>
        </w:tc>
        <w:tc>
          <w:tcPr>
            <w:tcW w:w="3484" w:type="dxa"/>
            <w:shd w:val="clear" w:color="auto" w:fill="E6E6E6"/>
            <w:vAlign w:val="center"/>
          </w:tcPr>
          <w:p w14:paraId="5DCEEA0C">
            <w:pPr>
              <w:spacing w:line="440" w:lineRule="exact"/>
              <w:jc w:val="center"/>
              <w:rPr>
                <w:sz w:val="18"/>
                <w:szCs w:val="18"/>
                <w:lang w:val="en-US"/>
              </w:rPr>
            </w:pPr>
            <w:r>
              <w:rPr>
                <w:rFonts w:hint="eastAsia"/>
                <w:sz w:val="18"/>
                <w:szCs w:val="18"/>
                <w:lang w:val="en-US"/>
              </w:rPr>
              <w:t>室内外风压差大于</w:t>
            </w:r>
            <w:r>
              <w:rPr>
                <w:sz w:val="18"/>
                <w:szCs w:val="18"/>
                <w:lang w:val="en-US"/>
              </w:rPr>
              <w:t>0.5Pa</w:t>
            </w:r>
            <w:r>
              <w:rPr>
                <w:rFonts w:hint="eastAsia"/>
                <w:sz w:val="18"/>
                <w:szCs w:val="18"/>
                <w:lang w:val="en-US"/>
              </w:rPr>
              <w:t>的建筑表面积（㎡）</w:t>
            </w:r>
          </w:p>
        </w:tc>
        <w:tc>
          <w:tcPr>
            <w:tcW w:w="1085" w:type="dxa"/>
            <w:shd w:val="clear" w:color="auto" w:fill="E6E6E6"/>
            <w:vAlign w:val="center"/>
          </w:tcPr>
          <w:p w14:paraId="4870CC24">
            <w:pPr>
              <w:spacing w:line="440" w:lineRule="exact"/>
              <w:jc w:val="center"/>
              <w:rPr>
                <w:sz w:val="18"/>
                <w:szCs w:val="18"/>
                <w:lang w:val="en-US"/>
              </w:rPr>
            </w:pPr>
            <w:r>
              <w:rPr>
                <w:rFonts w:hint="eastAsia"/>
                <w:sz w:val="18"/>
                <w:szCs w:val="18"/>
                <w:lang w:val="en-US"/>
              </w:rPr>
              <w:t>达标比例（</w:t>
            </w:r>
            <w:r>
              <w:rPr>
                <w:sz w:val="18"/>
                <w:szCs w:val="18"/>
                <w:lang w:val="en-US"/>
              </w:rPr>
              <w:t>%</w:t>
            </w:r>
            <w:r>
              <w:rPr>
                <w:rFonts w:hint="eastAsia"/>
                <w:sz w:val="18"/>
                <w:szCs w:val="18"/>
                <w:lang w:val="en-US"/>
              </w:rPr>
              <w:t>）</w:t>
            </w:r>
          </w:p>
        </w:tc>
        <w:tc>
          <w:tcPr>
            <w:tcW w:w="1042" w:type="dxa"/>
            <w:shd w:val="clear" w:color="auto" w:fill="E6E6E6"/>
            <w:vAlign w:val="center"/>
          </w:tcPr>
          <w:p w14:paraId="1F58C73B">
            <w:pPr>
              <w:spacing w:line="440" w:lineRule="exact"/>
              <w:jc w:val="center"/>
              <w:rPr>
                <w:sz w:val="18"/>
                <w:szCs w:val="18"/>
                <w:lang w:val="en-US"/>
              </w:rPr>
            </w:pPr>
            <w:r>
              <w:rPr>
                <w:rFonts w:hint="eastAsia"/>
                <w:sz w:val="18"/>
                <w:szCs w:val="18"/>
                <w:lang w:val="en-US"/>
              </w:rPr>
              <w:t>是否达标</w:t>
            </w:r>
          </w:p>
        </w:tc>
      </w:tr>
      <w:tr w14:paraId="52480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68ACFD72">
            <w:pPr>
              <w:spacing w:line="440" w:lineRule="exact"/>
              <w:jc w:val="center"/>
              <w:rPr>
                <w:sz w:val="18"/>
                <w:szCs w:val="18"/>
                <w:lang w:val="en-US"/>
              </w:rPr>
            </w:pPr>
            <w:r>
              <w:rPr>
                <w:sz w:val="18"/>
                <w:szCs w:val="18"/>
                <w:lang w:val="en-US"/>
              </w:rPr>
              <w:t>博物馆</w:t>
            </w:r>
          </w:p>
        </w:tc>
        <w:tc>
          <w:tcPr>
            <w:tcW w:w="1335" w:type="dxa"/>
            <w:vAlign w:val="center"/>
          </w:tcPr>
          <w:p w14:paraId="0B4F815F">
            <w:pPr>
              <w:spacing w:line="440" w:lineRule="exact"/>
              <w:jc w:val="center"/>
              <w:rPr>
                <w:sz w:val="18"/>
                <w:szCs w:val="18"/>
                <w:lang w:val="en-US"/>
              </w:rPr>
            </w:pPr>
            <w:r>
              <w:rPr>
                <w:sz w:val="18"/>
                <w:szCs w:val="18"/>
                <w:lang w:val="en-US"/>
              </w:rPr>
              <w:t>622.31</w:t>
            </w:r>
          </w:p>
        </w:tc>
        <w:tc>
          <w:tcPr>
            <w:tcW w:w="3484" w:type="dxa"/>
            <w:vAlign w:val="center"/>
          </w:tcPr>
          <w:p w14:paraId="3DD01290">
            <w:pPr>
              <w:spacing w:line="440" w:lineRule="exact"/>
              <w:jc w:val="center"/>
              <w:rPr>
                <w:sz w:val="18"/>
                <w:szCs w:val="18"/>
                <w:lang w:val="en-US"/>
              </w:rPr>
            </w:pPr>
            <w:r>
              <w:rPr>
                <w:sz w:val="18"/>
                <w:szCs w:val="18"/>
                <w:lang w:val="en-US"/>
              </w:rPr>
              <w:t>622.31</w:t>
            </w:r>
          </w:p>
        </w:tc>
        <w:tc>
          <w:tcPr>
            <w:tcW w:w="1085" w:type="dxa"/>
            <w:vAlign w:val="center"/>
          </w:tcPr>
          <w:p w14:paraId="4E0E3A8B">
            <w:pPr>
              <w:spacing w:line="440" w:lineRule="exact"/>
              <w:jc w:val="center"/>
              <w:rPr>
                <w:sz w:val="18"/>
                <w:szCs w:val="18"/>
                <w:lang w:val="en-US"/>
              </w:rPr>
            </w:pPr>
            <w:r>
              <w:rPr>
                <w:sz w:val="18"/>
                <w:szCs w:val="18"/>
                <w:lang w:val="en-US"/>
              </w:rPr>
              <w:t>100.00</w:t>
            </w:r>
          </w:p>
        </w:tc>
        <w:tc>
          <w:tcPr>
            <w:tcW w:w="1042" w:type="dxa"/>
            <w:vAlign w:val="center"/>
          </w:tcPr>
          <w:p w14:paraId="4247CA60">
            <w:pPr>
              <w:spacing w:line="440" w:lineRule="exact"/>
              <w:jc w:val="center"/>
              <w:rPr>
                <w:sz w:val="18"/>
                <w:szCs w:val="18"/>
                <w:lang w:val="en-US"/>
              </w:rPr>
            </w:pPr>
            <w:r>
              <w:rPr>
                <w:sz w:val="18"/>
                <w:szCs w:val="18"/>
                <w:lang w:val="en-US"/>
              </w:rPr>
              <w:t>是</w:t>
            </w:r>
          </w:p>
        </w:tc>
      </w:tr>
      <w:tr w14:paraId="48A4F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42E69AC3">
            <w:pPr>
              <w:spacing w:line="440" w:lineRule="exact"/>
              <w:jc w:val="center"/>
              <w:rPr>
                <w:sz w:val="18"/>
                <w:szCs w:val="18"/>
                <w:lang w:val="en-US"/>
              </w:rPr>
            </w:pPr>
            <w:r>
              <w:rPr>
                <w:sz w:val="18"/>
                <w:szCs w:val="18"/>
                <w:lang w:val="en-US"/>
              </w:rPr>
              <w:t>陈列馆</w:t>
            </w:r>
          </w:p>
        </w:tc>
        <w:tc>
          <w:tcPr>
            <w:tcW w:w="1335" w:type="dxa"/>
            <w:vAlign w:val="center"/>
          </w:tcPr>
          <w:p w14:paraId="4E76EE04">
            <w:pPr>
              <w:spacing w:line="440" w:lineRule="exact"/>
              <w:jc w:val="center"/>
              <w:rPr>
                <w:sz w:val="18"/>
                <w:szCs w:val="18"/>
                <w:lang w:val="en-US"/>
              </w:rPr>
            </w:pPr>
            <w:r>
              <w:rPr>
                <w:sz w:val="18"/>
                <w:szCs w:val="18"/>
                <w:lang w:val="en-US"/>
              </w:rPr>
              <w:t>549.71</w:t>
            </w:r>
          </w:p>
        </w:tc>
        <w:tc>
          <w:tcPr>
            <w:tcW w:w="3484" w:type="dxa"/>
            <w:vAlign w:val="center"/>
          </w:tcPr>
          <w:p w14:paraId="4DCF7E21">
            <w:pPr>
              <w:spacing w:line="440" w:lineRule="exact"/>
              <w:jc w:val="center"/>
              <w:rPr>
                <w:sz w:val="18"/>
                <w:szCs w:val="18"/>
                <w:lang w:val="en-US"/>
              </w:rPr>
            </w:pPr>
            <w:r>
              <w:rPr>
                <w:sz w:val="18"/>
                <w:szCs w:val="18"/>
                <w:lang w:val="en-US"/>
              </w:rPr>
              <w:t>549.71</w:t>
            </w:r>
          </w:p>
        </w:tc>
        <w:tc>
          <w:tcPr>
            <w:tcW w:w="1085" w:type="dxa"/>
            <w:vAlign w:val="center"/>
          </w:tcPr>
          <w:p w14:paraId="08DA5106">
            <w:pPr>
              <w:spacing w:line="440" w:lineRule="exact"/>
              <w:jc w:val="center"/>
              <w:rPr>
                <w:sz w:val="18"/>
                <w:szCs w:val="18"/>
                <w:lang w:val="en-US"/>
              </w:rPr>
            </w:pPr>
            <w:r>
              <w:rPr>
                <w:sz w:val="18"/>
                <w:szCs w:val="18"/>
                <w:lang w:val="en-US"/>
              </w:rPr>
              <w:t>100.00</w:t>
            </w:r>
          </w:p>
        </w:tc>
        <w:tc>
          <w:tcPr>
            <w:tcW w:w="1042" w:type="dxa"/>
            <w:vAlign w:val="center"/>
          </w:tcPr>
          <w:p w14:paraId="7607CE68">
            <w:pPr>
              <w:spacing w:line="440" w:lineRule="exact"/>
              <w:jc w:val="center"/>
              <w:rPr>
                <w:sz w:val="18"/>
                <w:szCs w:val="18"/>
                <w:lang w:val="en-US"/>
              </w:rPr>
            </w:pPr>
            <w:r>
              <w:rPr>
                <w:sz w:val="18"/>
                <w:szCs w:val="18"/>
                <w:lang w:val="en-US"/>
              </w:rPr>
              <w:t>是</w:t>
            </w:r>
          </w:p>
        </w:tc>
      </w:tr>
      <w:tr w14:paraId="6D243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702B5943">
            <w:pPr>
              <w:spacing w:line="440" w:lineRule="exact"/>
              <w:jc w:val="center"/>
              <w:rPr>
                <w:sz w:val="18"/>
                <w:szCs w:val="18"/>
                <w:lang w:val="en-US"/>
              </w:rPr>
            </w:pPr>
            <w:r>
              <w:rPr>
                <w:sz w:val="18"/>
                <w:szCs w:val="18"/>
                <w:lang w:val="en-US"/>
              </w:rPr>
              <w:t>接待大堂</w:t>
            </w:r>
          </w:p>
        </w:tc>
        <w:tc>
          <w:tcPr>
            <w:tcW w:w="1335" w:type="dxa"/>
            <w:vAlign w:val="center"/>
          </w:tcPr>
          <w:p w14:paraId="7EA9177D">
            <w:pPr>
              <w:spacing w:line="440" w:lineRule="exact"/>
              <w:jc w:val="center"/>
              <w:rPr>
                <w:sz w:val="18"/>
                <w:szCs w:val="18"/>
                <w:lang w:val="en-US"/>
              </w:rPr>
            </w:pPr>
            <w:r>
              <w:rPr>
                <w:sz w:val="18"/>
                <w:szCs w:val="18"/>
                <w:lang w:val="en-US"/>
              </w:rPr>
              <w:t>294.41</w:t>
            </w:r>
          </w:p>
        </w:tc>
        <w:tc>
          <w:tcPr>
            <w:tcW w:w="3484" w:type="dxa"/>
            <w:vAlign w:val="center"/>
          </w:tcPr>
          <w:p w14:paraId="7B79E74F">
            <w:pPr>
              <w:spacing w:line="440" w:lineRule="exact"/>
              <w:jc w:val="center"/>
              <w:rPr>
                <w:sz w:val="18"/>
                <w:szCs w:val="18"/>
                <w:lang w:val="en-US"/>
              </w:rPr>
            </w:pPr>
            <w:r>
              <w:rPr>
                <w:sz w:val="18"/>
                <w:szCs w:val="18"/>
                <w:lang w:val="en-US"/>
              </w:rPr>
              <w:t>294.41</w:t>
            </w:r>
          </w:p>
        </w:tc>
        <w:tc>
          <w:tcPr>
            <w:tcW w:w="1085" w:type="dxa"/>
            <w:vAlign w:val="center"/>
          </w:tcPr>
          <w:p w14:paraId="2E144969">
            <w:pPr>
              <w:spacing w:line="440" w:lineRule="exact"/>
              <w:jc w:val="center"/>
              <w:rPr>
                <w:sz w:val="18"/>
                <w:szCs w:val="18"/>
                <w:lang w:val="en-US"/>
              </w:rPr>
            </w:pPr>
            <w:r>
              <w:rPr>
                <w:sz w:val="18"/>
                <w:szCs w:val="18"/>
                <w:lang w:val="en-US"/>
              </w:rPr>
              <w:t>100.00</w:t>
            </w:r>
          </w:p>
        </w:tc>
        <w:tc>
          <w:tcPr>
            <w:tcW w:w="1042" w:type="dxa"/>
            <w:vAlign w:val="center"/>
          </w:tcPr>
          <w:p w14:paraId="2C7651AA">
            <w:pPr>
              <w:spacing w:line="440" w:lineRule="exact"/>
              <w:jc w:val="center"/>
              <w:rPr>
                <w:sz w:val="18"/>
                <w:szCs w:val="18"/>
                <w:lang w:val="en-US"/>
              </w:rPr>
            </w:pPr>
            <w:r>
              <w:rPr>
                <w:sz w:val="18"/>
                <w:szCs w:val="18"/>
                <w:lang w:val="en-US"/>
              </w:rPr>
              <w:t>是</w:t>
            </w:r>
          </w:p>
        </w:tc>
      </w:tr>
      <w:tr w14:paraId="1A700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7851D7C8">
            <w:pPr>
              <w:spacing w:line="440" w:lineRule="exact"/>
              <w:jc w:val="center"/>
              <w:rPr>
                <w:sz w:val="18"/>
                <w:szCs w:val="18"/>
                <w:lang w:val="en-US"/>
              </w:rPr>
            </w:pPr>
            <w:r>
              <w:rPr>
                <w:sz w:val="18"/>
                <w:szCs w:val="18"/>
                <w:lang w:val="en-US"/>
              </w:rPr>
              <w:t>酒店2</w:t>
            </w:r>
          </w:p>
        </w:tc>
        <w:tc>
          <w:tcPr>
            <w:tcW w:w="1335" w:type="dxa"/>
            <w:vAlign w:val="center"/>
          </w:tcPr>
          <w:p w14:paraId="2892B323">
            <w:pPr>
              <w:spacing w:line="440" w:lineRule="exact"/>
              <w:jc w:val="center"/>
              <w:rPr>
                <w:sz w:val="18"/>
                <w:szCs w:val="18"/>
                <w:lang w:val="en-US"/>
              </w:rPr>
            </w:pPr>
            <w:r>
              <w:rPr>
                <w:sz w:val="18"/>
                <w:szCs w:val="18"/>
                <w:lang w:val="en-US"/>
              </w:rPr>
              <w:t>3123.92</w:t>
            </w:r>
          </w:p>
        </w:tc>
        <w:tc>
          <w:tcPr>
            <w:tcW w:w="3484" w:type="dxa"/>
            <w:vAlign w:val="center"/>
          </w:tcPr>
          <w:p w14:paraId="638320F8">
            <w:pPr>
              <w:spacing w:line="440" w:lineRule="exact"/>
              <w:jc w:val="center"/>
              <w:rPr>
                <w:sz w:val="18"/>
                <w:szCs w:val="18"/>
                <w:lang w:val="en-US"/>
              </w:rPr>
            </w:pPr>
            <w:r>
              <w:rPr>
                <w:sz w:val="18"/>
                <w:szCs w:val="18"/>
                <w:lang w:val="en-US"/>
              </w:rPr>
              <w:t>3123.92</w:t>
            </w:r>
          </w:p>
        </w:tc>
        <w:tc>
          <w:tcPr>
            <w:tcW w:w="1085" w:type="dxa"/>
            <w:vAlign w:val="center"/>
          </w:tcPr>
          <w:p w14:paraId="50FF005C">
            <w:pPr>
              <w:spacing w:line="440" w:lineRule="exact"/>
              <w:jc w:val="center"/>
              <w:rPr>
                <w:sz w:val="18"/>
                <w:szCs w:val="18"/>
                <w:lang w:val="en-US"/>
              </w:rPr>
            </w:pPr>
            <w:r>
              <w:rPr>
                <w:sz w:val="18"/>
                <w:szCs w:val="18"/>
                <w:lang w:val="en-US"/>
              </w:rPr>
              <w:t>100.00</w:t>
            </w:r>
          </w:p>
        </w:tc>
        <w:tc>
          <w:tcPr>
            <w:tcW w:w="1042" w:type="dxa"/>
            <w:vAlign w:val="center"/>
          </w:tcPr>
          <w:p w14:paraId="3697FE9A">
            <w:pPr>
              <w:spacing w:line="440" w:lineRule="exact"/>
              <w:jc w:val="center"/>
              <w:rPr>
                <w:sz w:val="18"/>
                <w:szCs w:val="18"/>
                <w:lang w:val="en-US"/>
              </w:rPr>
            </w:pPr>
            <w:r>
              <w:rPr>
                <w:sz w:val="18"/>
                <w:szCs w:val="18"/>
                <w:lang w:val="en-US"/>
              </w:rPr>
              <w:t>是</w:t>
            </w:r>
          </w:p>
        </w:tc>
      </w:tr>
      <w:tr w14:paraId="1C1DA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381CFB59">
            <w:pPr>
              <w:spacing w:line="440" w:lineRule="exact"/>
              <w:jc w:val="center"/>
              <w:rPr>
                <w:sz w:val="18"/>
                <w:szCs w:val="18"/>
                <w:lang w:val="en-US"/>
              </w:rPr>
            </w:pPr>
            <w:r>
              <w:rPr>
                <w:sz w:val="18"/>
                <w:szCs w:val="18"/>
                <w:lang w:val="en-US"/>
              </w:rPr>
              <w:t>图书馆</w:t>
            </w:r>
          </w:p>
        </w:tc>
        <w:tc>
          <w:tcPr>
            <w:tcW w:w="1335" w:type="dxa"/>
            <w:vAlign w:val="center"/>
          </w:tcPr>
          <w:p w14:paraId="3ACE885B">
            <w:pPr>
              <w:spacing w:line="440" w:lineRule="exact"/>
              <w:jc w:val="center"/>
              <w:rPr>
                <w:sz w:val="18"/>
                <w:szCs w:val="18"/>
                <w:lang w:val="en-US"/>
              </w:rPr>
            </w:pPr>
            <w:r>
              <w:rPr>
                <w:sz w:val="18"/>
                <w:szCs w:val="18"/>
                <w:lang w:val="en-US"/>
              </w:rPr>
              <w:t>495.70</w:t>
            </w:r>
          </w:p>
        </w:tc>
        <w:tc>
          <w:tcPr>
            <w:tcW w:w="3484" w:type="dxa"/>
            <w:vAlign w:val="center"/>
          </w:tcPr>
          <w:p w14:paraId="0B262F2A">
            <w:pPr>
              <w:spacing w:line="440" w:lineRule="exact"/>
              <w:jc w:val="center"/>
              <w:rPr>
                <w:sz w:val="18"/>
                <w:szCs w:val="18"/>
                <w:lang w:val="en-US"/>
              </w:rPr>
            </w:pPr>
            <w:r>
              <w:rPr>
                <w:sz w:val="18"/>
                <w:szCs w:val="18"/>
                <w:lang w:val="en-US"/>
              </w:rPr>
              <w:t>495.70</w:t>
            </w:r>
          </w:p>
        </w:tc>
        <w:tc>
          <w:tcPr>
            <w:tcW w:w="1085" w:type="dxa"/>
            <w:vAlign w:val="center"/>
          </w:tcPr>
          <w:p w14:paraId="517B4647">
            <w:pPr>
              <w:spacing w:line="440" w:lineRule="exact"/>
              <w:jc w:val="center"/>
              <w:rPr>
                <w:sz w:val="18"/>
                <w:szCs w:val="18"/>
                <w:lang w:val="en-US"/>
              </w:rPr>
            </w:pPr>
            <w:r>
              <w:rPr>
                <w:sz w:val="18"/>
                <w:szCs w:val="18"/>
                <w:lang w:val="en-US"/>
              </w:rPr>
              <w:t>100.00</w:t>
            </w:r>
          </w:p>
        </w:tc>
        <w:tc>
          <w:tcPr>
            <w:tcW w:w="1042" w:type="dxa"/>
            <w:vAlign w:val="center"/>
          </w:tcPr>
          <w:p w14:paraId="409840B8">
            <w:pPr>
              <w:spacing w:line="440" w:lineRule="exact"/>
              <w:jc w:val="center"/>
              <w:rPr>
                <w:sz w:val="18"/>
                <w:szCs w:val="18"/>
                <w:lang w:val="en-US"/>
              </w:rPr>
            </w:pPr>
            <w:r>
              <w:rPr>
                <w:sz w:val="18"/>
                <w:szCs w:val="18"/>
                <w:lang w:val="en-US"/>
              </w:rPr>
              <w:t>是</w:t>
            </w:r>
          </w:p>
        </w:tc>
      </w:tr>
      <w:tr w14:paraId="470C5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76B046DE">
            <w:pPr>
              <w:spacing w:line="440" w:lineRule="exact"/>
              <w:jc w:val="center"/>
              <w:rPr>
                <w:sz w:val="18"/>
                <w:szCs w:val="18"/>
                <w:lang w:val="en-US"/>
              </w:rPr>
            </w:pPr>
            <w:r>
              <w:rPr>
                <w:sz w:val="18"/>
                <w:szCs w:val="18"/>
                <w:lang w:val="en-US"/>
              </w:rPr>
              <w:t>展示厅</w:t>
            </w:r>
          </w:p>
        </w:tc>
        <w:tc>
          <w:tcPr>
            <w:tcW w:w="1335" w:type="dxa"/>
            <w:vAlign w:val="center"/>
          </w:tcPr>
          <w:p w14:paraId="08D3ED6F">
            <w:pPr>
              <w:spacing w:line="440" w:lineRule="exact"/>
              <w:jc w:val="center"/>
              <w:rPr>
                <w:sz w:val="18"/>
                <w:szCs w:val="18"/>
                <w:lang w:val="en-US"/>
              </w:rPr>
            </w:pPr>
            <w:r>
              <w:rPr>
                <w:sz w:val="18"/>
                <w:szCs w:val="18"/>
                <w:lang w:val="en-US"/>
              </w:rPr>
              <w:t>1917.42</w:t>
            </w:r>
          </w:p>
        </w:tc>
        <w:tc>
          <w:tcPr>
            <w:tcW w:w="3484" w:type="dxa"/>
            <w:vAlign w:val="center"/>
          </w:tcPr>
          <w:p w14:paraId="0F39B6C6">
            <w:pPr>
              <w:spacing w:line="440" w:lineRule="exact"/>
              <w:jc w:val="center"/>
              <w:rPr>
                <w:sz w:val="18"/>
                <w:szCs w:val="18"/>
                <w:lang w:val="en-US"/>
              </w:rPr>
            </w:pPr>
            <w:r>
              <w:rPr>
                <w:sz w:val="18"/>
                <w:szCs w:val="18"/>
                <w:lang w:val="en-US"/>
              </w:rPr>
              <w:t>1917.42</w:t>
            </w:r>
          </w:p>
        </w:tc>
        <w:tc>
          <w:tcPr>
            <w:tcW w:w="1085" w:type="dxa"/>
            <w:vAlign w:val="center"/>
          </w:tcPr>
          <w:p w14:paraId="68DF7D7C">
            <w:pPr>
              <w:spacing w:line="440" w:lineRule="exact"/>
              <w:jc w:val="center"/>
              <w:rPr>
                <w:sz w:val="18"/>
                <w:szCs w:val="18"/>
                <w:lang w:val="en-US"/>
              </w:rPr>
            </w:pPr>
            <w:r>
              <w:rPr>
                <w:sz w:val="18"/>
                <w:szCs w:val="18"/>
                <w:lang w:val="en-US"/>
              </w:rPr>
              <w:t>100.00</w:t>
            </w:r>
          </w:p>
        </w:tc>
        <w:tc>
          <w:tcPr>
            <w:tcW w:w="1042" w:type="dxa"/>
            <w:vAlign w:val="center"/>
          </w:tcPr>
          <w:p w14:paraId="094D7520">
            <w:pPr>
              <w:spacing w:line="440" w:lineRule="exact"/>
              <w:jc w:val="center"/>
              <w:rPr>
                <w:sz w:val="18"/>
                <w:szCs w:val="18"/>
                <w:lang w:val="en-US"/>
              </w:rPr>
            </w:pPr>
            <w:r>
              <w:rPr>
                <w:sz w:val="18"/>
                <w:szCs w:val="18"/>
                <w:lang w:val="en-US"/>
              </w:rPr>
              <w:t>是</w:t>
            </w:r>
          </w:p>
        </w:tc>
      </w:tr>
      <w:bookmarkEnd w:id="133"/>
    </w:tbl>
    <w:p w14:paraId="3BB0682D">
      <w:pPr>
        <w:rPr>
          <w:sz w:val="18"/>
          <w:szCs w:val="18"/>
          <w:lang w:val="en-US"/>
        </w:rPr>
      </w:pPr>
      <w:r>
        <w:rPr>
          <w:rFonts w:hint="eastAsia"/>
          <w:sz w:val="18"/>
          <w:szCs w:val="18"/>
          <w:lang w:val="en-US"/>
        </w:rPr>
        <w:t>说明：达标比例＝（室内外风压差大于</w:t>
      </w:r>
      <w:r>
        <w:rPr>
          <w:sz w:val="18"/>
          <w:szCs w:val="18"/>
          <w:lang w:val="en-US"/>
        </w:rPr>
        <w:t>0.5Pa</w:t>
      </w:r>
      <w:r>
        <w:rPr>
          <w:rFonts w:hint="eastAsia"/>
          <w:sz w:val="18"/>
          <w:szCs w:val="18"/>
          <w:lang w:val="en-US"/>
        </w:rPr>
        <w:t>的建筑表面积</w:t>
      </w:r>
      <w:r>
        <w:rPr>
          <w:sz w:val="18"/>
          <w:szCs w:val="18"/>
          <w:lang w:val="en-US"/>
        </w:rPr>
        <w:t>/</w:t>
      </w:r>
      <w:r>
        <w:rPr>
          <w:rFonts w:hint="eastAsia"/>
          <w:sz w:val="18"/>
          <w:szCs w:val="18"/>
          <w:lang w:val="en-US"/>
        </w:rPr>
        <w:t>建筑表面积）</w:t>
      </w:r>
      <w:r>
        <w:rPr>
          <w:sz w:val="18"/>
          <w:szCs w:val="18"/>
          <w:lang w:val="en-US"/>
        </w:rPr>
        <w:t>*100</w:t>
      </w:r>
      <w:r>
        <w:rPr>
          <w:rFonts w:hint="eastAsia"/>
          <w:sz w:val="18"/>
          <w:szCs w:val="18"/>
          <w:lang w:val="en-US"/>
        </w:rPr>
        <w:t>％</w:t>
      </w:r>
    </w:p>
    <w:p w14:paraId="161D228F">
      <w:r>
        <w:rPr>
          <w:rFonts w:hint="eastAsia"/>
        </w:rPr>
        <w:t xml:space="preserve"> </w:t>
      </w:r>
      <w:bookmarkEnd w:id="26"/>
    </w:p>
    <w:p w14:paraId="17C0A6F8">
      <w:pPr>
        <w:ind w:firstLine="420"/>
        <w:rPr>
          <w:lang w:val="en-US"/>
        </w:rPr>
      </w:pPr>
      <w:bookmarkStart w:id="134" w:name="建筑室内外风压差达标判定结论"/>
      <w:r>
        <w:rPr>
          <w:rFonts w:hint="eastAsia"/>
          <w:lang w:val="en-US"/>
        </w:rPr>
        <w:t>结论：本项目中所有建筑均满足“50%以上可开启外窗室内外表面的风压差大于0.5Pa”的要求。</w:t>
      </w:r>
      <w:bookmarkEnd w:id="134"/>
      <w:r>
        <w:rPr>
          <w:rFonts w:hint="eastAsia"/>
          <w:lang w:val="en-US"/>
        </w:rPr>
        <w:t xml:space="preserve"> </w:t>
      </w:r>
    </w:p>
    <w:p w14:paraId="0A495D13">
      <w:pPr>
        <w:rPr>
          <w:lang w:val="en-US"/>
        </w:rPr>
      </w:pPr>
      <w:bookmarkStart w:id="135" w:name="其他工况"/>
      <w:bookmarkEnd w:id="135"/>
      <w:r>
        <w:rPr>
          <w:rFonts w:hint="eastAsia"/>
          <w:lang w:val="en-US"/>
        </w:rPr>
        <w:t xml:space="preserve"> </w:t>
      </w:r>
    </w:p>
    <w:p w14:paraId="62417152">
      <w:pPr>
        <w:pStyle w:val="2"/>
      </w:pPr>
      <w:bookmarkStart w:id="136" w:name="_Toc509844764"/>
      <w:bookmarkStart w:id="137" w:name="_Toc32579"/>
      <w:r>
        <w:rPr>
          <w:rFonts w:hint="eastAsia"/>
        </w:rPr>
        <w:t>结论</w:t>
      </w:r>
      <w:bookmarkEnd w:id="136"/>
      <w:bookmarkEnd w:id="137"/>
    </w:p>
    <w:p w14:paraId="0EFF93DA">
      <w:pPr>
        <w:pStyle w:val="4"/>
      </w:pPr>
      <w:bookmarkStart w:id="138" w:name="_Toc509844765"/>
      <w:bookmarkStart w:id="139" w:name="_Toc12377"/>
      <w:r>
        <w:rPr>
          <w:rFonts w:hint="eastAsia"/>
        </w:rPr>
        <w:t>冬季工况达标判断</w:t>
      </w:r>
      <w:bookmarkEnd w:id="138"/>
      <w:bookmarkEnd w:id="139"/>
      <w:bookmarkStart w:id="140" w:name="_Toc509844766"/>
      <w:bookmarkEnd w:id="140"/>
    </w:p>
    <w:p w14:paraId="355CBBCC">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 xml:space="preserve">表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6.1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表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冬季工况达标判断表</w:t>
      </w:r>
    </w:p>
    <w:tbl>
      <w:tblPr>
        <w:tblStyle w:val="21"/>
        <w:tblW w:w="8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977"/>
        <w:gridCol w:w="1985"/>
        <w:gridCol w:w="1133"/>
        <w:gridCol w:w="850"/>
      </w:tblGrid>
      <w:tr w14:paraId="0C1AE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E6E6E6"/>
            <w:vAlign w:val="center"/>
          </w:tcPr>
          <w:p w14:paraId="1BFC47DB">
            <w:pPr>
              <w:jc w:val="center"/>
              <w:rPr>
                <w:b/>
                <w:sz w:val="18"/>
                <w:szCs w:val="18"/>
                <w:lang w:val="en-US"/>
              </w:rPr>
            </w:pPr>
            <w:r>
              <w:rPr>
                <w:rFonts w:hint="eastAsia"/>
                <w:b/>
                <w:sz w:val="18"/>
                <w:szCs w:val="18"/>
                <w:lang w:val="en-US"/>
              </w:rPr>
              <w:t>评价项目</w:t>
            </w:r>
          </w:p>
        </w:tc>
        <w:tc>
          <w:tcPr>
            <w:tcW w:w="2977" w:type="dxa"/>
            <w:shd w:val="clear" w:color="auto" w:fill="E6E6E6"/>
          </w:tcPr>
          <w:p w14:paraId="7460BCC1">
            <w:pPr>
              <w:jc w:val="center"/>
              <w:rPr>
                <w:b/>
                <w:sz w:val="18"/>
                <w:szCs w:val="18"/>
                <w:lang w:val="en-US"/>
              </w:rPr>
            </w:pPr>
            <w:r>
              <w:rPr>
                <w:rFonts w:hint="eastAsia"/>
                <w:b/>
                <w:sz w:val="18"/>
                <w:szCs w:val="18"/>
                <w:lang w:val="en-US"/>
              </w:rPr>
              <w:t>标准要求</w:t>
            </w:r>
          </w:p>
        </w:tc>
        <w:tc>
          <w:tcPr>
            <w:tcW w:w="1985" w:type="dxa"/>
            <w:shd w:val="clear" w:color="auto" w:fill="E6E6E6"/>
            <w:vAlign w:val="center"/>
          </w:tcPr>
          <w:p w14:paraId="6556B36B">
            <w:pPr>
              <w:jc w:val="center"/>
              <w:rPr>
                <w:b/>
                <w:sz w:val="18"/>
                <w:szCs w:val="18"/>
                <w:lang w:val="en-US"/>
              </w:rPr>
            </w:pPr>
            <w:r>
              <w:rPr>
                <w:rFonts w:hint="eastAsia"/>
                <w:b/>
                <w:sz w:val="18"/>
                <w:szCs w:val="18"/>
                <w:lang w:val="en-US"/>
              </w:rPr>
              <w:t>项目计算结果</w:t>
            </w:r>
          </w:p>
        </w:tc>
        <w:tc>
          <w:tcPr>
            <w:tcW w:w="1133" w:type="dxa"/>
            <w:shd w:val="clear" w:color="auto" w:fill="E6E6E6"/>
          </w:tcPr>
          <w:p w14:paraId="4E2FC457">
            <w:pPr>
              <w:jc w:val="center"/>
              <w:rPr>
                <w:b/>
                <w:sz w:val="18"/>
                <w:szCs w:val="18"/>
                <w:lang w:val="en-US"/>
              </w:rPr>
            </w:pPr>
            <w:r>
              <w:rPr>
                <w:rFonts w:hint="eastAsia"/>
                <w:b/>
                <w:sz w:val="18"/>
                <w:szCs w:val="18"/>
                <w:lang w:val="en-US"/>
              </w:rPr>
              <w:t>达标判定</w:t>
            </w:r>
          </w:p>
        </w:tc>
        <w:tc>
          <w:tcPr>
            <w:tcW w:w="850" w:type="dxa"/>
            <w:shd w:val="clear" w:color="auto" w:fill="E6E6E6"/>
          </w:tcPr>
          <w:p w14:paraId="05ADE0E3">
            <w:pPr>
              <w:jc w:val="center"/>
              <w:rPr>
                <w:b/>
                <w:sz w:val="18"/>
                <w:szCs w:val="18"/>
                <w:lang w:val="en-US"/>
              </w:rPr>
            </w:pPr>
            <w:r>
              <w:rPr>
                <w:rFonts w:hint="eastAsia"/>
                <w:b/>
                <w:sz w:val="18"/>
                <w:szCs w:val="18"/>
                <w:lang w:val="en-US"/>
              </w:rPr>
              <w:t>得分</w:t>
            </w:r>
          </w:p>
        </w:tc>
      </w:tr>
      <w:tr w14:paraId="5B73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auto"/>
            <w:vAlign w:val="center"/>
          </w:tcPr>
          <w:p w14:paraId="53B73561">
            <w:pPr>
              <w:jc w:val="center"/>
              <w:rPr>
                <w:sz w:val="18"/>
                <w:szCs w:val="18"/>
                <w:lang w:val="en-US"/>
              </w:rPr>
            </w:pPr>
            <w:r>
              <w:rPr>
                <w:rFonts w:hint="eastAsia"/>
                <w:sz w:val="18"/>
                <w:szCs w:val="18"/>
                <w:lang w:val="en-US"/>
              </w:rPr>
              <w:t>风速</w:t>
            </w:r>
          </w:p>
        </w:tc>
        <w:tc>
          <w:tcPr>
            <w:tcW w:w="2977" w:type="dxa"/>
            <w:vMerge w:val="restart"/>
            <w:shd w:val="clear" w:color="auto" w:fill="auto"/>
          </w:tcPr>
          <w:p w14:paraId="7AEED4A4">
            <w:pPr>
              <w:rPr>
                <w:sz w:val="18"/>
                <w:szCs w:val="18"/>
                <w:lang w:val="en-US"/>
              </w:rPr>
            </w:pPr>
            <w:r>
              <w:rPr>
                <w:rFonts w:hint="eastAsia"/>
                <w:sz w:val="18"/>
                <w:szCs w:val="18"/>
                <w:lang w:val="en-US"/>
              </w:rPr>
              <w:t>建筑物周围人行区距地高1. 5m处风速小于5m/s, 户外休息区、儿童娱乐区风速小于2m/s, 且室外风速放大系数小于2, 得</w:t>
            </w:r>
            <w:bookmarkStart w:id="141" w:name="标准要求冬季风速得分"/>
            <w:r>
              <w:rPr>
                <w:rFonts w:hint="eastAsia"/>
                <w:sz w:val="18"/>
                <w:szCs w:val="18"/>
                <w:lang w:val="en-US"/>
              </w:rPr>
              <w:t>3</w:t>
            </w:r>
            <w:bookmarkEnd w:id="141"/>
            <w:r>
              <w:rPr>
                <w:rFonts w:hint="eastAsia"/>
                <w:sz w:val="18"/>
                <w:szCs w:val="18"/>
                <w:lang w:val="en-US"/>
              </w:rPr>
              <w:t>分；</w:t>
            </w:r>
          </w:p>
        </w:tc>
        <w:tc>
          <w:tcPr>
            <w:tcW w:w="1985" w:type="dxa"/>
            <w:shd w:val="clear" w:color="auto" w:fill="auto"/>
            <w:vAlign w:val="center"/>
          </w:tcPr>
          <w:p w14:paraId="41A087B2">
            <w:pPr>
              <w:jc w:val="center"/>
              <w:rPr>
                <w:sz w:val="18"/>
                <w:szCs w:val="18"/>
                <w:lang w:val="en-US"/>
              </w:rPr>
            </w:pPr>
            <w:r>
              <w:rPr>
                <w:rFonts w:hint="eastAsia"/>
                <w:sz w:val="18"/>
                <w:szCs w:val="18"/>
                <w:lang w:val="en-US"/>
              </w:rPr>
              <w:t>计算域</w:t>
            </w:r>
            <w:bookmarkStart w:id="142" w:name="冬季风速结果计算域"/>
            <w:r>
              <w:t>没有出现</w:t>
            </w:r>
            <w:bookmarkEnd w:id="142"/>
            <w:r>
              <w:rPr>
                <w:rFonts w:hint="eastAsia"/>
                <w:sz w:val="18"/>
                <w:szCs w:val="18"/>
                <w:lang w:val="en-US"/>
              </w:rPr>
              <w:t>风速大于</w:t>
            </w:r>
            <w:r>
              <w:rPr>
                <w:sz w:val="18"/>
                <w:szCs w:val="18"/>
                <w:lang w:val="en-US"/>
              </w:rPr>
              <w:t>5m/s</w:t>
            </w:r>
            <w:r>
              <w:rPr>
                <w:rFonts w:hint="eastAsia"/>
                <w:sz w:val="18"/>
                <w:szCs w:val="18"/>
                <w:lang w:val="en-US"/>
              </w:rPr>
              <w:t>的区域</w:t>
            </w:r>
          </w:p>
        </w:tc>
        <w:tc>
          <w:tcPr>
            <w:tcW w:w="1133" w:type="dxa"/>
            <w:vMerge w:val="restart"/>
            <w:shd w:val="clear" w:color="auto" w:fill="auto"/>
            <w:vAlign w:val="center"/>
          </w:tcPr>
          <w:p w14:paraId="687E16D5">
            <w:pPr>
              <w:jc w:val="center"/>
              <w:rPr>
                <w:b/>
                <w:sz w:val="18"/>
                <w:szCs w:val="18"/>
                <w:lang w:val="en-US"/>
              </w:rPr>
            </w:pPr>
            <w:bookmarkStart w:id="143" w:name="冬季风速达标判定"/>
            <w:r>
              <w:rPr>
                <w:rFonts w:hint="eastAsia"/>
                <w:b/>
                <w:sz w:val="18"/>
                <w:szCs w:val="18"/>
                <w:lang w:val="en-US"/>
              </w:rPr>
              <w:t>达标</w:t>
            </w:r>
            <w:bookmarkEnd w:id="143"/>
          </w:p>
        </w:tc>
        <w:tc>
          <w:tcPr>
            <w:tcW w:w="850" w:type="dxa"/>
            <w:vMerge w:val="restart"/>
            <w:shd w:val="clear" w:color="auto" w:fill="auto"/>
            <w:vAlign w:val="center"/>
          </w:tcPr>
          <w:p w14:paraId="1164BF27">
            <w:pPr>
              <w:jc w:val="center"/>
              <w:rPr>
                <w:sz w:val="18"/>
                <w:szCs w:val="18"/>
                <w:lang w:val="en-US"/>
              </w:rPr>
            </w:pPr>
            <w:bookmarkStart w:id="144" w:name="冬季风速得分"/>
            <w:r>
              <w:rPr>
                <w:rFonts w:hint="eastAsia"/>
                <w:sz w:val="18"/>
                <w:szCs w:val="18"/>
                <w:lang w:val="en-US"/>
              </w:rPr>
              <w:t>3</w:t>
            </w:r>
            <w:bookmarkEnd w:id="144"/>
            <w:r>
              <w:rPr>
                <w:rFonts w:hint="eastAsia"/>
                <w:sz w:val="18"/>
                <w:szCs w:val="18"/>
                <w:lang w:val="en-US"/>
              </w:rPr>
              <w:t>分</w:t>
            </w:r>
          </w:p>
        </w:tc>
      </w:tr>
      <w:tr w14:paraId="2D832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auto"/>
            <w:vAlign w:val="center"/>
          </w:tcPr>
          <w:p w14:paraId="77678E2D">
            <w:pPr>
              <w:jc w:val="center"/>
              <w:rPr>
                <w:sz w:val="18"/>
                <w:szCs w:val="18"/>
                <w:lang w:val="en-US"/>
              </w:rPr>
            </w:pPr>
            <w:r>
              <w:rPr>
                <w:rFonts w:hint="eastAsia"/>
                <w:sz w:val="18"/>
                <w:szCs w:val="18"/>
                <w:lang w:val="en-US"/>
              </w:rPr>
              <w:t>风速放大系数</w:t>
            </w:r>
          </w:p>
        </w:tc>
        <w:tc>
          <w:tcPr>
            <w:tcW w:w="2977" w:type="dxa"/>
            <w:vMerge w:val="continue"/>
            <w:shd w:val="clear" w:color="auto" w:fill="auto"/>
          </w:tcPr>
          <w:p w14:paraId="41D02414">
            <w:pPr>
              <w:jc w:val="center"/>
              <w:rPr>
                <w:sz w:val="18"/>
                <w:szCs w:val="18"/>
                <w:lang w:val="en-US"/>
              </w:rPr>
            </w:pPr>
          </w:p>
        </w:tc>
        <w:tc>
          <w:tcPr>
            <w:tcW w:w="1985" w:type="dxa"/>
            <w:shd w:val="clear" w:color="auto" w:fill="auto"/>
            <w:vAlign w:val="center"/>
          </w:tcPr>
          <w:p w14:paraId="4C8C0DB0">
            <w:pPr>
              <w:jc w:val="center"/>
              <w:rPr>
                <w:sz w:val="18"/>
                <w:szCs w:val="18"/>
                <w:lang w:val="en-US"/>
              </w:rPr>
            </w:pPr>
            <w:r>
              <w:rPr>
                <w:rFonts w:hint="eastAsia"/>
                <w:sz w:val="18"/>
                <w:szCs w:val="18"/>
                <w:lang w:val="en-US"/>
              </w:rPr>
              <w:t>计算域</w:t>
            </w:r>
            <w:bookmarkStart w:id="145" w:name="冬季风速放大系数结果计算域"/>
            <w:r>
              <w:t>没有出现</w:t>
            </w:r>
            <w:bookmarkEnd w:id="145"/>
            <w:r>
              <w:rPr>
                <w:rFonts w:hint="eastAsia"/>
                <w:sz w:val="18"/>
                <w:szCs w:val="18"/>
                <w:lang w:val="en-US"/>
              </w:rPr>
              <w:t>风速放大系数大于等于2的区域</w:t>
            </w:r>
          </w:p>
        </w:tc>
        <w:tc>
          <w:tcPr>
            <w:tcW w:w="1133" w:type="dxa"/>
            <w:vMerge w:val="continue"/>
            <w:shd w:val="clear" w:color="auto" w:fill="auto"/>
          </w:tcPr>
          <w:p w14:paraId="0E82650B">
            <w:pPr>
              <w:jc w:val="center"/>
              <w:rPr>
                <w:sz w:val="18"/>
                <w:szCs w:val="18"/>
                <w:lang w:val="en-US"/>
              </w:rPr>
            </w:pPr>
          </w:p>
        </w:tc>
        <w:tc>
          <w:tcPr>
            <w:tcW w:w="850" w:type="dxa"/>
            <w:vMerge w:val="continue"/>
            <w:shd w:val="clear" w:color="auto" w:fill="auto"/>
          </w:tcPr>
          <w:p w14:paraId="4B309028">
            <w:pPr>
              <w:jc w:val="center"/>
              <w:rPr>
                <w:sz w:val="18"/>
                <w:szCs w:val="18"/>
                <w:lang w:val="en-US"/>
              </w:rPr>
            </w:pPr>
          </w:p>
        </w:tc>
      </w:tr>
      <w:tr w14:paraId="19D17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auto"/>
            <w:vAlign w:val="center"/>
          </w:tcPr>
          <w:p w14:paraId="460365B1">
            <w:pPr>
              <w:jc w:val="center"/>
              <w:rPr>
                <w:sz w:val="18"/>
                <w:szCs w:val="18"/>
                <w:lang w:val="en-US"/>
              </w:rPr>
            </w:pPr>
            <w:r>
              <w:rPr>
                <w:rFonts w:hint="eastAsia"/>
                <w:sz w:val="18"/>
                <w:szCs w:val="18"/>
                <w:lang w:val="en-US"/>
              </w:rPr>
              <w:t>建筑迎风面/背风面风压值</w:t>
            </w:r>
          </w:p>
        </w:tc>
        <w:tc>
          <w:tcPr>
            <w:tcW w:w="2977" w:type="dxa"/>
            <w:shd w:val="clear" w:color="auto" w:fill="auto"/>
          </w:tcPr>
          <w:p w14:paraId="6F5C5A3A">
            <w:pPr>
              <w:jc w:val="center"/>
              <w:rPr>
                <w:sz w:val="18"/>
                <w:szCs w:val="18"/>
                <w:lang w:val="en-US"/>
              </w:rPr>
            </w:pPr>
            <w:r>
              <w:rPr>
                <w:rFonts w:hint="eastAsia"/>
                <w:sz w:val="18"/>
                <w:szCs w:val="18"/>
                <w:lang w:val="en-US"/>
              </w:rPr>
              <w:t>除迎风第一排建筑外，建筑迎风面与背风面表面风压差不超过5Pa，得</w:t>
            </w:r>
            <w:bookmarkStart w:id="146" w:name="标准要求冬季风压得分"/>
            <w:r>
              <w:rPr>
                <w:rFonts w:hint="eastAsia"/>
                <w:sz w:val="18"/>
                <w:szCs w:val="18"/>
                <w:lang w:val="en-US"/>
              </w:rPr>
              <w:t>2</w:t>
            </w:r>
            <w:bookmarkEnd w:id="146"/>
            <w:r>
              <w:rPr>
                <w:rFonts w:hint="eastAsia"/>
                <w:sz w:val="18"/>
                <w:szCs w:val="18"/>
                <w:lang w:val="en-US"/>
              </w:rPr>
              <w:t>分</w:t>
            </w:r>
            <w:r>
              <w:rPr>
                <w:sz w:val="18"/>
                <w:szCs w:val="18"/>
                <w:lang w:val="en-US"/>
              </w:rPr>
              <w:t>未出现风速超标区域</w:t>
            </w:r>
          </w:p>
        </w:tc>
        <w:tc>
          <w:tcPr>
            <w:tcW w:w="1985" w:type="dxa"/>
            <w:shd w:val="clear" w:color="auto" w:fill="auto"/>
            <w:vAlign w:val="center"/>
          </w:tcPr>
          <w:p w14:paraId="5F43B59F">
            <w:pPr>
              <w:jc w:val="center"/>
              <w:rPr>
                <w:sz w:val="18"/>
                <w:szCs w:val="18"/>
                <w:lang w:val="en-US"/>
              </w:rPr>
            </w:pPr>
            <w:r>
              <w:rPr>
                <w:rFonts w:hint="eastAsia"/>
                <w:sz w:val="18"/>
                <w:szCs w:val="18"/>
                <w:lang w:val="en-US"/>
              </w:rPr>
              <w:t>本项目</w:t>
            </w:r>
            <w:bookmarkStart w:id="147" w:name="冬季迎背风面结果"/>
            <w:r>
              <w:rPr>
                <w:color w:val="FF0000"/>
              </w:rPr>
              <w:t>出现</w:t>
            </w:r>
            <w:bookmarkEnd w:id="147"/>
            <w:r>
              <w:rPr>
                <w:rFonts w:hint="eastAsia"/>
                <w:sz w:val="18"/>
                <w:szCs w:val="18"/>
                <w:lang w:val="en-US"/>
              </w:rPr>
              <w:t>建筑迎风面与背风面表面风压差大于5Pa的建筑</w:t>
            </w:r>
          </w:p>
        </w:tc>
        <w:tc>
          <w:tcPr>
            <w:tcW w:w="1133" w:type="dxa"/>
            <w:shd w:val="clear" w:color="auto" w:fill="auto"/>
            <w:vAlign w:val="center"/>
          </w:tcPr>
          <w:p w14:paraId="012E3F28">
            <w:pPr>
              <w:jc w:val="center"/>
              <w:rPr>
                <w:sz w:val="18"/>
                <w:szCs w:val="18"/>
                <w:lang w:val="en-US"/>
              </w:rPr>
            </w:pPr>
            <w:bookmarkStart w:id="148" w:name="冬季迎背风面达标判定"/>
            <w:r>
              <w:rPr>
                <w:rFonts w:hint="eastAsia"/>
                <w:b/>
                <w:color w:val="FF0000"/>
                <w:sz w:val="18"/>
                <w:szCs w:val="18"/>
                <w:lang w:val="en-US"/>
              </w:rPr>
              <w:t>不达标</w:t>
            </w:r>
            <w:bookmarkEnd w:id="148"/>
          </w:p>
        </w:tc>
        <w:tc>
          <w:tcPr>
            <w:tcW w:w="850" w:type="dxa"/>
            <w:shd w:val="clear" w:color="auto" w:fill="auto"/>
            <w:vAlign w:val="center"/>
          </w:tcPr>
          <w:p w14:paraId="32F95E9C">
            <w:pPr>
              <w:jc w:val="center"/>
              <w:rPr>
                <w:sz w:val="18"/>
                <w:szCs w:val="18"/>
                <w:lang w:val="en-US"/>
              </w:rPr>
            </w:pPr>
            <w:bookmarkStart w:id="149" w:name="冬季迎背风面得分"/>
            <w:r>
              <w:rPr>
                <w:rFonts w:hint="eastAsia"/>
                <w:sz w:val="18"/>
                <w:szCs w:val="18"/>
                <w:lang w:val="en-US"/>
              </w:rPr>
              <w:t>0</w:t>
            </w:r>
            <w:bookmarkEnd w:id="149"/>
            <w:r>
              <w:rPr>
                <w:rFonts w:hint="eastAsia"/>
                <w:sz w:val="18"/>
                <w:szCs w:val="18"/>
                <w:lang w:val="en-US"/>
              </w:rPr>
              <w:t>分</w:t>
            </w:r>
          </w:p>
        </w:tc>
      </w:tr>
    </w:tbl>
    <w:p w14:paraId="69B639E1">
      <w:pPr>
        <w:rPr>
          <w:lang w:val="en-US"/>
        </w:rPr>
      </w:pPr>
      <w:bookmarkStart w:id="150" w:name="_Toc509844767"/>
      <w:bookmarkEnd w:id="150"/>
      <w:bookmarkStart w:id="151" w:name="_Toc509844768"/>
      <w:bookmarkEnd w:id="151"/>
    </w:p>
    <w:p w14:paraId="199B4786">
      <w:pPr>
        <w:pStyle w:val="4"/>
      </w:pPr>
      <w:bookmarkStart w:id="152" w:name="_Toc509844769"/>
      <w:bookmarkStart w:id="153" w:name="_Toc9573"/>
      <w:r>
        <w:rPr>
          <w:rFonts w:hint="eastAsia"/>
        </w:rPr>
        <w:t>过渡季、夏季工况达标判断</w:t>
      </w:r>
      <w:bookmarkEnd w:id="152"/>
      <w:bookmarkEnd w:id="153"/>
    </w:p>
    <w:p w14:paraId="588638D2">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6.2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过渡季、夏季工况达标判断表</w:t>
      </w:r>
    </w:p>
    <w:tbl>
      <w:tblPr>
        <w:tblStyle w:val="21"/>
        <w:tblW w:w="85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444"/>
        <w:gridCol w:w="2410"/>
        <w:gridCol w:w="1134"/>
        <w:gridCol w:w="992"/>
      </w:tblGrid>
      <w:tr w14:paraId="1258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E6E6E6"/>
            <w:vAlign w:val="center"/>
          </w:tcPr>
          <w:p w14:paraId="60B34483">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评价项目</w:t>
            </w:r>
          </w:p>
        </w:tc>
        <w:tc>
          <w:tcPr>
            <w:tcW w:w="2444" w:type="dxa"/>
            <w:shd w:val="clear" w:color="auto" w:fill="E6E6E6"/>
          </w:tcPr>
          <w:p w14:paraId="772EC367">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标准要求</w:t>
            </w:r>
          </w:p>
        </w:tc>
        <w:tc>
          <w:tcPr>
            <w:tcW w:w="2410" w:type="dxa"/>
            <w:shd w:val="clear" w:color="auto" w:fill="E6E6E6"/>
            <w:vAlign w:val="center"/>
          </w:tcPr>
          <w:p w14:paraId="587650CA">
            <w:pPr>
              <w:jc w:val="center"/>
              <w:rPr>
                <w:rFonts w:ascii="微软雅黑" w:hAnsi="微软雅黑" w:eastAsia="微软雅黑"/>
                <w:sz w:val="18"/>
                <w:szCs w:val="18"/>
                <w:lang w:val="en-US"/>
              </w:rPr>
            </w:pPr>
            <w:r>
              <w:rPr>
                <w:rFonts w:hint="eastAsia" w:ascii="微软雅黑" w:hAnsi="微软雅黑" w:eastAsia="微软雅黑"/>
                <w:sz w:val="18"/>
                <w:szCs w:val="18"/>
                <w:lang w:val="en-US"/>
              </w:rPr>
              <w:t>项目计算结果</w:t>
            </w:r>
          </w:p>
        </w:tc>
        <w:tc>
          <w:tcPr>
            <w:tcW w:w="1134" w:type="dxa"/>
            <w:shd w:val="clear" w:color="auto" w:fill="E6E6E6"/>
          </w:tcPr>
          <w:p w14:paraId="61748A86">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达标判定</w:t>
            </w:r>
          </w:p>
        </w:tc>
        <w:tc>
          <w:tcPr>
            <w:tcW w:w="992" w:type="dxa"/>
            <w:shd w:val="clear" w:color="auto" w:fill="E6E6E6"/>
          </w:tcPr>
          <w:p w14:paraId="7F5C2DD2">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得分</w:t>
            </w:r>
          </w:p>
        </w:tc>
      </w:tr>
      <w:tr w14:paraId="2F86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vAlign w:val="center"/>
          </w:tcPr>
          <w:p w14:paraId="0DDAE8CF">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无风区</w:t>
            </w:r>
          </w:p>
        </w:tc>
        <w:tc>
          <w:tcPr>
            <w:tcW w:w="2444" w:type="dxa"/>
            <w:vMerge w:val="restart"/>
            <w:shd w:val="clear" w:color="auto" w:fill="auto"/>
          </w:tcPr>
          <w:p w14:paraId="69BFB317">
            <w:pPr>
              <w:rPr>
                <w:rFonts w:ascii="微软雅黑" w:hAnsi="微软雅黑" w:eastAsia="微软雅黑"/>
                <w:sz w:val="18"/>
                <w:szCs w:val="18"/>
                <w:lang w:val="en-US"/>
              </w:rPr>
            </w:pPr>
            <w:r>
              <w:rPr>
                <w:rFonts w:hint="eastAsia" w:ascii="微软雅黑" w:hAnsi="微软雅黑" w:eastAsia="微软雅黑"/>
                <w:sz w:val="18"/>
                <w:szCs w:val="18"/>
                <w:lang w:val="en-US"/>
              </w:rPr>
              <w:t>场地内人活动区</w:t>
            </w:r>
            <w:r>
              <w:rPr>
                <w:rFonts w:hint="eastAsia" w:ascii="微软雅黑" w:hAnsi="微软雅黑" w:eastAsia="微软雅黑"/>
                <w:b/>
                <w:sz w:val="18"/>
                <w:szCs w:val="18"/>
                <w:lang w:val="en-US"/>
              </w:rPr>
              <w:t>不出现涡旋或无风区</w:t>
            </w:r>
            <w:r>
              <w:rPr>
                <w:rFonts w:hint="eastAsia" w:ascii="微软雅黑" w:hAnsi="微软雅黑" w:eastAsia="微软雅黑"/>
                <w:sz w:val="18"/>
                <w:szCs w:val="18"/>
                <w:lang w:val="en-US"/>
              </w:rPr>
              <w:t>，得</w:t>
            </w:r>
            <w:bookmarkStart w:id="154" w:name="标准要求夏季风速得分"/>
            <w:r>
              <w:rPr>
                <w:rFonts w:hint="eastAsia" w:ascii="微软雅黑" w:hAnsi="微软雅黑" w:eastAsia="微软雅黑"/>
                <w:sz w:val="18"/>
                <w:szCs w:val="18"/>
                <w:lang w:val="en-US"/>
              </w:rPr>
              <w:t>3</w:t>
            </w:r>
            <w:bookmarkEnd w:id="154"/>
            <w:r>
              <w:rPr>
                <w:rFonts w:hint="eastAsia" w:ascii="微软雅黑" w:hAnsi="微软雅黑" w:eastAsia="微软雅黑"/>
                <w:sz w:val="18"/>
                <w:szCs w:val="18"/>
                <w:lang w:val="en-US"/>
              </w:rPr>
              <w:t>分</w:t>
            </w:r>
            <w:r>
              <w:rPr>
                <w:rFonts w:ascii="微软雅黑" w:hAnsi="微软雅黑" w:eastAsia="微软雅黑"/>
                <w:sz w:val="18"/>
                <w:szCs w:val="18"/>
                <w:lang w:val="en-US"/>
              </w:rPr>
              <w:t xml:space="preserve"> </w:t>
            </w:r>
          </w:p>
        </w:tc>
        <w:tc>
          <w:tcPr>
            <w:tcW w:w="2410" w:type="dxa"/>
            <w:shd w:val="clear" w:color="auto" w:fill="auto"/>
            <w:vAlign w:val="center"/>
          </w:tcPr>
          <w:p w14:paraId="37B54D8F">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计算域</w:t>
            </w:r>
            <w:bookmarkStart w:id="155" w:name="夏季无风区结果计算域"/>
            <w:r>
              <w:rPr>
                <w:rFonts w:hint="eastAsia" w:ascii="微软雅黑" w:hAnsi="微软雅黑" w:eastAsia="微软雅黑"/>
                <w:sz w:val="18"/>
                <w:szCs w:val="18"/>
                <w:lang w:val="en-US"/>
              </w:rPr>
              <w:t>无</w:t>
            </w:r>
            <w:bookmarkEnd w:id="155"/>
            <w:r>
              <w:rPr>
                <w:rFonts w:hint="eastAsia" w:ascii="微软雅黑" w:hAnsi="微软雅黑" w:eastAsia="微软雅黑"/>
                <w:sz w:val="18"/>
                <w:szCs w:val="18"/>
                <w:lang w:val="en-US"/>
              </w:rPr>
              <w:t>无风区</w:t>
            </w:r>
          </w:p>
        </w:tc>
        <w:tc>
          <w:tcPr>
            <w:tcW w:w="1134" w:type="dxa"/>
            <w:vMerge w:val="restart"/>
            <w:shd w:val="clear" w:color="auto" w:fill="auto"/>
            <w:vAlign w:val="center"/>
          </w:tcPr>
          <w:p w14:paraId="45C30E5A">
            <w:pPr>
              <w:jc w:val="center"/>
              <w:rPr>
                <w:rFonts w:ascii="微软雅黑" w:hAnsi="微软雅黑" w:eastAsia="微软雅黑"/>
                <w:sz w:val="18"/>
                <w:szCs w:val="18"/>
                <w:lang w:val="en-US"/>
              </w:rPr>
            </w:pPr>
            <w:bookmarkStart w:id="156" w:name="夏季无风区达标判定"/>
            <w:r>
              <w:rPr>
                <w:rFonts w:hint="eastAsia" w:ascii="微软雅黑" w:hAnsi="微软雅黑" w:eastAsia="微软雅黑"/>
                <w:b/>
                <w:sz w:val="18"/>
                <w:szCs w:val="18"/>
                <w:lang w:val="en-US"/>
              </w:rPr>
              <w:t>达标</w:t>
            </w:r>
            <w:bookmarkEnd w:id="156"/>
          </w:p>
        </w:tc>
        <w:tc>
          <w:tcPr>
            <w:tcW w:w="992" w:type="dxa"/>
            <w:vMerge w:val="restart"/>
            <w:shd w:val="clear" w:color="auto" w:fill="auto"/>
            <w:vAlign w:val="center"/>
          </w:tcPr>
          <w:p w14:paraId="65F8E271">
            <w:pPr>
              <w:jc w:val="center"/>
              <w:rPr>
                <w:rFonts w:ascii="微软雅黑" w:hAnsi="微软雅黑" w:eastAsia="微软雅黑"/>
                <w:sz w:val="18"/>
                <w:szCs w:val="18"/>
                <w:lang w:val="en-US"/>
              </w:rPr>
            </w:pPr>
            <w:bookmarkStart w:id="157" w:name="夏季无风区得分"/>
            <w:r>
              <w:rPr>
                <w:rFonts w:hint="eastAsia" w:ascii="微软雅黑" w:hAnsi="微软雅黑" w:eastAsia="微软雅黑"/>
                <w:sz w:val="18"/>
                <w:szCs w:val="18"/>
                <w:lang w:val="en-US"/>
              </w:rPr>
              <w:t>3</w:t>
            </w:r>
            <w:bookmarkEnd w:id="157"/>
            <w:r>
              <w:rPr>
                <w:rFonts w:hint="eastAsia" w:ascii="微软雅黑" w:hAnsi="微软雅黑" w:eastAsia="微软雅黑"/>
                <w:sz w:val="18"/>
                <w:szCs w:val="18"/>
                <w:lang w:val="en-US"/>
              </w:rPr>
              <w:t>分</w:t>
            </w:r>
          </w:p>
        </w:tc>
      </w:tr>
      <w:tr w14:paraId="705A4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vAlign w:val="center"/>
          </w:tcPr>
          <w:p w14:paraId="3F7A25A4">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旋涡区</w:t>
            </w:r>
          </w:p>
        </w:tc>
        <w:tc>
          <w:tcPr>
            <w:tcW w:w="2444" w:type="dxa"/>
            <w:vMerge w:val="continue"/>
            <w:shd w:val="clear" w:color="auto" w:fill="auto"/>
          </w:tcPr>
          <w:p w14:paraId="085284E1">
            <w:pPr>
              <w:jc w:val="center"/>
              <w:rPr>
                <w:rFonts w:ascii="微软雅黑" w:hAnsi="微软雅黑" w:eastAsia="微软雅黑"/>
                <w:sz w:val="18"/>
                <w:szCs w:val="18"/>
                <w:lang w:val="en-US"/>
              </w:rPr>
            </w:pPr>
          </w:p>
        </w:tc>
        <w:tc>
          <w:tcPr>
            <w:tcW w:w="2410" w:type="dxa"/>
            <w:shd w:val="clear" w:color="auto" w:fill="auto"/>
            <w:vAlign w:val="center"/>
          </w:tcPr>
          <w:p w14:paraId="35292DDE">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计算域无旋涡区</w:t>
            </w:r>
          </w:p>
        </w:tc>
        <w:tc>
          <w:tcPr>
            <w:tcW w:w="1134" w:type="dxa"/>
            <w:vMerge w:val="continue"/>
            <w:shd w:val="clear" w:color="auto" w:fill="auto"/>
          </w:tcPr>
          <w:p w14:paraId="7577A373">
            <w:pPr>
              <w:jc w:val="center"/>
              <w:rPr>
                <w:rFonts w:ascii="微软雅黑" w:hAnsi="微软雅黑" w:eastAsia="微软雅黑"/>
                <w:sz w:val="18"/>
                <w:szCs w:val="18"/>
                <w:lang w:val="en-US"/>
              </w:rPr>
            </w:pPr>
          </w:p>
        </w:tc>
        <w:tc>
          <w:tcPr>
            <w:tcW w:w="992" w:type="dxa"/>
            <w:vMerge w:val="continue"/>
            <w:shd w:val="clear" w:color="auto" w:fill="auto"/>
          </w:tcPr>
          <w:p w14:paraId="4D4312EF">
            <w:pPr>
              <w:jc w:val="center"/>
              <w:rPr>
                <w:rFonts w:ascii="微软雅黑" w:hAnsi="微软雅黑" w:eastAsia="微软雅黑"/>
                <w:sz w:val="18"/>
                <w:szCs w:val="18"/>
                <w:lang w:val="en-US"/>
              </w:rPr>
            </w:pPr>
          </w:p>
        </w:tc>
      </w:tr>
      <w:tr w14:paraId="6510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vAlign w:val="center"/>
          </w:tcPr>
          <w:p w14:paraId="1D40AB8A">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外窗室内外表面的风压差</w:t>
            </w:r>
          </w:p>
        </w:tc>
        <w:tc>
          <w:tcPr>
            <w:tcW w:w="2444" w:type="dxa"/>
            <w:shd w:val="clear" w:color="auto" w:fill="auto"/>
          </w:tcPr>
          <w:p w14:paraId="0CD1E059">
            <w:pPr>
              <w:jc w:val="center"/>
              <w:rPr>
                <w:rFonts w:ascii="微软雅黑" w:hAnsi="微软雅黑" w:eastAsia="微软雅黑"/>
                <w:sz w:val="18"/>
                <w:szCs w:val="18"/>
                <w:lang w:val="en-US"/>
              </w:rPr>
            </w:pPr>
            <w:r>
              <w:rPr>
                <w:rFonts w:ascii="微软雅黑" w:hAnsi="微软雅黑" w:eastAsia="微软雅黑"/>
                <w:b/>
                <w:sz w:val="18"/>
                <w:szCs w:val="18"/>
                <w:lang w:val="en-US"/>
              </w:rPr>
              <w:t>50%</w:t>
            </w:r>
            <w:r>
              <w:rPr>
                <w:rFonts w:hint="eastAsia" w:ascii="微软雅黑" w:hAnsi="微软雅黑" w:eastAsia="微软雅黑"/>
                <w:b/>
                <w:sz w:val="18"/>
                <w:szCs w:val="18"/>
                <w:lang w:val="en-US"/>
              </w:rPr>
              <w:t>以上</w:t>
            </w:r>
            <w:r>
              <w:rPr>
                <w:rFonts w:hint="eastAsia" w:ascii="微软雅黑" w:hAnsi="微软雅黑" w:eastAsia="微软雅黑"/>
                <w:sz w:val="18"/>
                <w:szCs w:val="18"/>
                <w:lang w:val="en-US"/>
              </w:rPr>
              <w:t>可开启外窗室内外表面的风压差</w:t>
            </w:r>
            <w:r>
              <w:rPr>
                <w:rFonts w:hint="eastAsia" w:ascii="微软雅黑" w:hAnsi="微软雅黑" w:eastAsia="微软雅黑"/>
                <w:b/>
                <w:sz w:val="18"/>
                <w:szCs w:val="18"/>
                <w:lang w:val="en-US"/>
              </w:rPr>
              <w:t>大于</w:t>
            </w:r>
            <w:r>
              <w:rPr>
                <w:rFonts w:ascii="微软雅黑" w:hAnsi="微软雅黑" w:eastAsia="微软雅黑"/>
                <w:b/>
                <w:sz w:val="18"/>
                <w:szCs w:val="18"/>
                <w:lang w:val="en-US"/>
              </w:rPr>
              <w:t>0.5Pa</w:t>
            </w:r>
            <w:r>
              <w:rPr>
                <w:rFonts w:hint="eastAsia" w:ascii="微软雅黑" w:hAnsi="微软雅黑" w:eastAsia="微软雅黑"/>
                <w:sz w:val="18"/>
                <w:szCs w:val="18"/>
                <w:lang w:val="en-US"/>
              </w:rPr>
              <w:t>，得</w:t>
            </w:r>
            <w:bookmarkStart w:id="158" w:name="标准要求夏季风压得分"/>
            <w:r>
              <w:rPr>
                <w:rFonts w:hint="eastAsia" w:ascii="微软雅黑" w:hAnsi="微软雅黑" w:eastAsia="微软雅黑"/>
                <w:sz w:val="18"/>
                <w:szCs w:val="18"/>
                <w:lang w:val="en-US"/>
              </w:rPr>
              <w:t>2</w:t>
            </w:r>
            <w:bookmarkEnd w:id="158"/>
            <w:r>
              <w:rPr>
                <w:rFonts w:hint="eastAsia" w:ascii="微软雅黑" w:hAnsi="微软雅黑" w:eastAsia="微软雅黑"/>
                <w:sz w:val="18"/>
                <w:szCs w:val="18"/>
                <w:lang w:val="en-US"/>
              </w:rPr>
              <w:t>分。</w:t>
            </w:r>
          </w:p>
        </w:tc>
        <w:tc>
          <w:tcPr>
            <w:tcW w:w="2410" w:type="dxa"/>
            <w:shd w:val="clear" w:color="auto" w:fill="auto"/>
            <w:vAlign w:val="center"/>
          </w:tcPr>
          <w:p w14:paraId="12E20684">
            <w:pPr>
              <w:jc w:val="center"/>
              <w:rPr>
                <w:rFonts w:ascii="微软雅黑" w:hAnsi="微软雅黑" w:eastAsia="微软雅黑"/>
                <w:sz w:val="18"/>
                <w:szCs w:val="18"/>
                <w:lang w:val="en-US"/>
              </w:rPr>
            </w:pPr>
            <w:r>
              <w:rPr>
                <w:rFonts w:hint="eastAsia" w:ascii="微软雅黑" w:hAnsi="微软雅黑" w:eastAsia="微软雅黑"/>
                <w:b/>
                <w:sz w:val="18"/>
                <w:szCs w:val="18"/>
                <w:lang w:val="en-US"/>
              </w:rPr>
              <w:t>可开启外窗室内外表面的风压差</w:t>
            </w:r>
            <w:bookmarkStart w:id="159" w:name="夏季窗内外风压差结果"/>
            <w:r>
              <w:rPr>
                <w:rFonts w:hint="eastAsia" w:ascii="微软雅黑" w:hAnsi="微软雅黑" w:eastAsia="微软雅黑"/>
                <w:sz w:val="18"/>
                <w:szCs w:val="18"/>
                <w:lang w:val="en-US"/>
              </w:rPr>
              <w:t>满足</w:t>
            </w:r>
            <w:bookmarkEnd w:id="159"/>
            <w:r>
              <w:rPr>
                <w:rFonts w:hint="eastAsia" w:ascii="微软雅黑" w:hAnsi="微软雅黑" w:eastAsia="微软雅黑"/>
                <w:sz w:val="18"/>
                <w:szCs w:val="18"/>
                <w:lang w:val="en-US"/>
              </w:rPr>
              <w:t>标准要求</w:t>
            </w:r>
          </w:p>
        </w:tc>
        <w:tc>
          <w:tcPr>
            <w:tcW w:w="1134" w:type="dxa"/>
            <w:shd w:val="clear" w:color="auto" w:fill="auto"/>
            <w:vAlign w:val="center"/>
          </w:tcPr>
          <w:p w14:paraId="6E015F23">
            <w:pPr>
              <w:jc w:val="center"/>
              <w:rPr>
                <w:rFonts w:ascii="微软雅黑" w:hAnsi="微软雅黑" w:eastAsia="微软雅黑"/>
                <w:b/>
                <w:sz w:val="18"/>
                <w:szCs w:val="18"/>
                <w:lang w:val="en-US"/>
              </w:rPr>
            </w:pPr>
            <w:bookmarkStart w:id="160" w:name="夏季窗内外风压差达标判定"/>
            <w:r>
              <w:rPr>
                <w:rFonts w:hint="eastAsia" w:ascii="微软雅黑" w:hAnsi="微软雅黑" w:eastAsia="微软雅黑"/>
                <w:b/>
                <w:sz w:val="18"/>
                <w:szCs w:val="18"/>
                <w:lang w:val="en-US"/>
              </w:rPr>
              <w:t>达标</w:t>
            </w:r>
            <w:bookmarkEnd w:id="160"/>
          </w:p>
        </w:tc>
        <w:tc>
          <w:tcPr>
            <w:tcW w:w="992" w:type="dxa"/>
            <w:shd w:val="clear" w:color="auto" w:fill="auto"/>
            <w:vAlign w:val="center"/>
          </w:tcPr>
          <w:p w14:paraId="7C52DD8A">
            <w:pPr>
              <w:jc w:val="center"/>
              <w:rPr>
                <w:rFonts w:ascii="微软雅黑" w:hAnsi="微软雅黑" w:eastAsia="微软雅黑"/>
                <w:sz w:val="18"/>
                <w:szCs w:val="18"/>
                <w:lang w:val="en-US"/>
              </w:rPr>
            </w:pPr>
            <w:bookmarkStart w:id="161" w:name="夏季窗内外风压差得分"/>
            <w:r>
              <w:rPr>
                <w:rFonts w:hint="eastAsia" w:ascii="微软雅黑" w:hAnsi="微软雅黑" w:eastAsia="微软雅黑"/>
                <w:sz w:val="18"/>
                <w:szCs w:val="18"/>
                <w:lang w:val="en-US"/>
              </w:rPr>
              <w:t>2</w:t>
            </w:r>
            <w:bookmarkEnd w:id="161"/>
            <w:r>
              <w:rPr>
                <w:rFonts w:hint="eastAsia" w:ascii="微软雅黑" w:hAnsi="微软雅黑" w:eastAsia="微软雅黑"/>
                <w:sz w:val="18"/>
                <w:szCs w:val="18"/>
                <w:lang w:val="en-US"/>
              </w:rPr>
              <w:t>分</w:t>
            </w:r>
          </w:p>
        </w:tc>
      </w:tr>
    </w:tbl>
    <w:p w14:paraId="3D26DF5A">
      <w:pPr>
        <w:rPr>
          <w:rFonts w:ascii="微软雅黑" w:hAnsi="微软雅黑" w:eastAsia="微软雅黑"/>
          <w:szCs w:val="21"/>
          <w:lang w:val="en-US"/>
        </w:rPr>
      </w:pPr>
    </w:p>
    <w:p w14:paraId="7955F0FA">
      <w:pPr>
        <w:pStyle w:val="3"/>
        <w:ind w:firstLine="420"/>
        <w:rPr>
          <w:rFonts w:ascii="微软雅黑" w:hAnsi="微软雅黑" w:eastAsia="微软雅黑"/>
          <w:lang w:val="en-US"/>
        </w:rPr>
      </w:pPr>
      <w:r>
        <w:rPr>
          <w:rFonts w:hint="eastAsia" w:ascii="微软雅黑" w:hAnsi="微软雅黑" w:eastAsia="微软雅黑"/>
          <w:lang w:val="en-US"/>
        </w:rPr>
        <w:t>综合上述达标判断详表的信息，可知本项目得分为</w:t>
      </w:r>
      <w:bookmarkStart w:id="162" w:name="总得分"/>
      <w:r>
        <w:rPr>
          <w:rFonts w:hint="eastAsia" w:ascii="微软雅黑" w:hAnsi="微软雅黑" w:eastAsia="微软雅黑"/>
          <w:lang w:val="en-US"/>
        </w:rPr>
        <w:t>8</w:t>
      </w:r>
      <w:bookmarkEnd w:id="162"/>
      <w:r>
        <w:rPr>
          <w:rFonts w:hint="eastAsia" w:ascii="微软雅黑" w:hAnsi="微软雅黑" w:eastAsia="微软雅黑"/>
          <w:lang w:val="en-US"/>
        </w:rPr>
        <w:t>分。</w:t>
      </w:r>
    </w:p>
    <w:p w14:paraId="6F66F1BA">
      <w:pPr>
        <w:pStyle w:val="2"/>
      </w:pPr>
      <w:bookmarkStart w:id="163" w:name="_Toc20557"/>
      <w:bookmarkStart w:id="164" w:name="附录"/>
      <w:r>
        <w:rPr>
          <w:rFonts w:hint="eastAsia"/>
        </w:rPr>
        <w:t>附录</w:t>
      </w:r>
      <w:bookmarkEnd w:id="163"/>
    </w:p>
    <w:p w14:paraId="429C653E">
      <w:pPr>
        <w:pStyle w:val="4"/>
      </w:pPr>
      <w:bookmarkStart w:id="165" w:name="_Toc2209"/>
      <w:r>
        <w:rPr>
          <w:rFonts w:hint="eastAsia"/>
        </w:rPr>
        <w:t>参评建筑迎背风面窗平均风压差表</w:t>
      </w:r>
      <w:bookmarkEnd w:id="165"/>
    </w:p>
    <w:p w14:paraId="7F0F49BD">
      <w:pPr>
        <w:jc w:val="center"/>
        <w:rPr>
          <w:sz w:val="18"/>
          <w:szCs w:val="18"/>
        </w:rPr>
      </w:pPr>
      <w:r>
        <w:rPr>
          <w:rFonts w:hint="eastAsia"/>
          <w:sz w:val="18"/>
          <w:szCs w:val="18"/>
        </w:rPr>
        <w:t>表</w:t>
      </w:r>
      <w:r>
        <w:rPr>
          <w:sz w:val="18"/>
          <w:szCs w:val="18"/>
        </w:rPr>
        <w:t xml:space="preserve"> </w:t>
      </w:r>
      <w:r>
        <w:rPr>
          <w:sz w:val="18"/>
          <w:szCs w:val="18"/>
        </w:rPr>
        <w:fldChar w:fldCharType="begin"/>
      </w:r>
      <w:r>
        <w:rPr>
          <w:sz w:val="18"/>
          <w:szCs w:val="18"/>
        </w:rPr>
        <w:instrText xml:space="preserve"> STYLEREF 2 \s </w:instrText>
      </w:r>
      <w:r>
        <w:rPr>
          <w:sz w:val="18"/>
          <w:szCs w:val="18"/>
        </w:rPr>
        <w:fldChar w:fldCharType="separate"/>
      </w:r>
      <w:r>
        <w:rPr>
          <w:sz w:val="18"/>
          <w:szCs w:val="18"/>
        </w:rPr>
        <w:t>7.1</w:t>
      </w:r>
      <w:r>
        <w:rPr>
          <w:sz w:val="18"/>
          <w:szCs w:val="18"/>
        </w:rPr>
        <w:fldChar w:fldCharType="end"/>
      </w:r>
      <w:r>
        <w:rPr>
          <w:sz w:val="18"/>
          <w:szCs w:val="18"/>
        </w:rPr>
        <w:noBreakHyphen/>
      </w:r>
      <w:r>
        <w:rPr>
          <w:sz w:val="18"/>
          <w:szCs w:val="18"/>
        </w:rPr>
        <w:fldChar w:fldCharType="begin"/>
      </w:r>
      <w:r>
        <w:rPr>
          <w:sz w:val="18"/>
          <w:szCs w:val="18"/>
        </w:rPr>
        <w:instrText xml:space="preserve"> SEQ </w:instrText>
      </w:r>
      <w:r>
        <w:rPr>
          <w:rFonts w:hint="eastAsia"/>
          <w:sz w:val="18"/>
          <w:szCs w:val="18"/>
        </w:rPr>
        <w:instrText xml:space="preserve">表</w:instrText>
      </w:r>
      <w:r>
        <w:rPr>
          <w:sz w:val="18"/>
          <w:szCs w:val="18"/>
        </w:rPr>
        <w:instrText xml:space="preserve"> \* ARABIC \s 2 </w:instrText>
      </w:r>
      <w:r>
        <w:rPr>
          <w:sz w:val="18"/>
          <w:szCs w:val="18"/>
        </w:rPr>
        <w:fldChar w:fldCharType="separate"/>
      </w:r>
      <w:r>
        <w:rPr>
          <w:sz w:val="18"/>
          <w:szCs w:val="18"/>
        </w:rPr>
        <w:t>1</w:t>
      </w:r>
      <w:r>
        <w:rPr>
          <w:sz w:val="18"/>
          <w:szCs w:val="18"/>
        </w:rPr>
        <w:fldChar w:fldCharType="end"/>
      </w:r>
      <w:r>
        <w:rPr>
          <w:sz w:val="18"/>
          <w:szCs w:val="18"/>
        </w:rPr>
        <w:t xml:space="preserve">  </w:t>
      </w:r>
      <w:r>
        <w:rPr>
          <w:rFonts w:hint="eastAsia"/>
          <w:sz w:val="18"/>
          <w:szCs w:val="18"/>
        </w:rPr>
        <w:t>建筑</w:t>
      </w:r>
      <w:r>
        <w:rPr>
          <w:sz w:val="18"/>
          <w:szCs w:val="18"/>
        </w:rPr>
        <w:t>-单体</w:t>
      </w:r>
      <w:bookmarkEnd w:id="1"/>
      <w:r>
        <w:rPr>
          <w:rFonts w:hint="eastAsia"/>
          <w:sz w:val="18"/>
          <w:szCs w:val="18"/>
        </w:rPr>
        <w:t>迎背风面窗平均风压差表</w:t>
      </w:r>
    </w:p>
    <w:tbl>
      <w:tblPr>
        <w:tblStyle w:val="21"/>
        <w:tblW w:w="822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261"/>
        <w:gridCol w:w="2142"/>
        <w:gridCol w:w="2268"/>
        <w:gridCol w:w="2551"/>
      </w:tblGrid>
      <w:tr w14:paraId="7DF62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shd w:val="clear" w:color="auto" w:fill="E6E6E6"/>
            <w:vAlign w:val="center"/>
          </w:tcPr>
          <w:p w14:paraId="13A50DFD">
            <w:pPr>
              <w:spacing w:line="400" w:lineRule="exact"/>
              <w:jc w:val="center"/>
              <w:rPr>
                <w:sz w:val="18"/>
                <w:szCs w:val="18"/>
                <w:lang w:val="en-US"/>
              </w:rPr>
            </w:pPr>
            <w:r>
              <w:rPr>
                <w:rFonts w:hint="eastAsia"/>
                <w:sz w:val="18"/>
                <w:szCs w:val="18"/>
                <w:lang w:val="en-US"/>
              </w:rPr>
              <w:t>区域</w:t>
            </w:r>
          </w:p>
        </w:tc>
        <w:tc>
          <w:tcPr>
            <w:tcW w:w="2142" w:type="dxa"/>
            <w:shd w:val="clear" w:color="auto" w:fill="E6E6E6"/>
            <w:vAlign w:val="center"/>
          </w:tcPr>
          <w:p w14:paraId="63B9DB46">
            <w:pPr>
              <w:spacing w:line="400" w:lineRule="exact"/>
              <w:jc w:val="center"/>
              <w:rPr>
                <w:sz w:val="18"/>
                <w:szCs w:val="18"/>
                <w:lang w:val="en-US"/>
              </w:rPr>
            </w:pPr>
            <w:r>
              <w:rPr>
                <w:rFonts w:hint="eastAsia"/>
                <w:sz w:val="18"/>
                <w:szCs w:val="18"/>
                <w:lang w:val="en-US"/>
              </w:rPr>
              <w:t>迎风面窗平均风压</w:t>
            </w:r>
            <w:r>
              <w:rPr>
                <w:sz w:val="18"/>
                <w:szCs w:val="18"/>
                <w:lang w:val="en-US"/>
              </w:rPr>
              <w:t>(Pa)</w:t>
            </w:r>
          </w:p>
        </w:tc>
        <w:tc>
          <w:tcPr>
            <w:tcW w:w="2268" w:type="dxa"/>
            <w:shd w:val="clear" w:color="auto" w:fill="E6E6E6"/>
            <w:vAlign w:val="center"/>
          </w:tcPr>
          <w:p w14:paraId="1D5B0BA9">
            <w:pPr>
              <w:spacing w:line="400" w:lineRule="exact"/>
              <w:jc w:val="center"/>
              <w:rPr>
                <w:sz w:val="18"/>
                <w:szCs w:val="18"/>
                <w:lang w:val="en-US"/>
              </w:rPr>
            </w:pPr>
            <w:r>
              <w:rPr>
                <w:rFonts w:hint="eastAsia"/>
                <w:sz w:val="18"/>
                <w:szCs w:val="18"/>
                <w:lang w:val="en-US"/>
              </w:rPr>
              <w:t>背风面窗平均风压</w:t>
            </w:r>
            <w:r>
              <w:rPr>
                <w:sz w:val="18"/>
                <w:szCs w:val="18"/>
                <w:lang w:val="en-US"/>
              </w:rPr>
              <w:t>(Pa)</w:t>
            </w:r>
          </w:p>
        </w:tc>
        <w:tc>
          <w:tcPr>
            <w:tcW w:w="2551" w:type="dxa"/>
            <w:shd w:val="clear" w:color="auto" w:fill="E6E6E6"/>
            <w:vAlign w:val="center"/>
          </w:tcPr>
          <w:p w14:paraId="6865C6F3">
            <w:pPr>
              <w:spacing w:line="400" w:lineRule="exact"/>
              <w:jc w:val="center"/>
              <w:rPr>
                <w:sz w:val="18"/>
                <w:szCs w:val="18"/>
                <w:lang w:val="en-US"/>
              </w:rPr>
            </w:pPr>
            <w:r>
              <w:rPr>
                <w:rFonts w:hint="eastAsia"/>
                <w:sz w:val="18"/>
                <w:szCs w:val="18"/>
                <w:lang w:val="en-US"/>
              </w:rPr>
              <w:t>迎背风面窗平均风压差</w:t>
            </w:r>
            <w:r>
              <w:rPr>
                <w:sz w:val="18"/>
                <w:szCs w:val="18"/>
                <w:lang w:val="en-US"/>
              </w:rPr>
              <w:t>(Pa)</w:t>
            </w:r>
          </w:p>
        </w:tc>
      </w:tr>
      <w:tr w14:paraId="4698A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0166B07E">
            <w:pPr>
              <w:spacing w:line="400" w:lineRule="exact"/>
              <w:jc w:val="center"/>
              <w:rPr>
                <w:sz w:val="18"/>
                <w:szCs w:val="18"/>
                <w:lang w:val="en-US"/>
              </w:rPr>
            </w:pPr>
            <w:r>
              <w:rPr>
                <w:rFonts w:hint="eastAsia"/>
                <w:sz w:val="18"/>
                <w:szCs w:val="18"/>
                <w:lang w:val="en-US"/>
              </w:rPr>
              <w:t>1层</w:t>
            </w:r>
          </w:p>
        </w:tc>
        <w:tc>
          <w:tcPr>
            <w:tcW w:w="2142" w:type="dxa"/>
            <w:vAlign w:val="center"/>
          </w:tcPr>
          <w:p w14:paraId="5DB360F1">
            <w:pPr>
              <w:spacing w:line="400" w:lineRule="exact"/>
              <w:jc w:val="center"/>
              <w:rPr>
                <w:sz w:val="18"/>
                <w:szCs w:val="18"/>
                <w:lang w:val="en-US"/>
              </w:rPr>
            </w:pPr>
            <w:r>
              <w:rPr>
                <w:sz w:val="18"/>
                <w:szCs w:val="18"/>
                <w:lang w:val="en-US"/>
              </w:rPr>
              <w:t>-28.57</w:t>
            </w:r>
          </w:p>
        </w:tc>
        <w:tc>
          <w:tcPr>
            <w:tcW w:w="2268" w:type="dxa"/>
            <w:vAlign w:val="center"/>
          </w:tcPr>
          <w:p w14:paraId="106D9B8B">
            <w:pPr>
              <w:spacing w:line="400" w:lineRule="exact"/>
              <w:jc w:val="center"/>
              <w:rPr>
                <w:sz w:val="18"/>
                <w:szCs w:val="18"/>
                <w:lang w:val="en-US"/>
              </w:rPr>
            </w:pPr>
            <w:r>
              <w:rPr>
                <w:sz w:val="18"/>
                <w:szCs w:val="18"/>
                <w:lang w:val="en-US"/>
              </w:rPr>
              <w:t>-28.67</w:t>
            </w:r>
          </w:p>
        </w:tc>
        <w:tc>
          <w:tcPr>
            <w:tcW w:w="2551" w:type="dxa"/>
            <w:vAlign w:val="center"/>
          </w:tcPr>
          <w:p w14:paraId="221BED5F">
            <w:pPr>
              <w:spacing w:line="400" w:lineRule="exact"/>
              <w:jc w:val="center"/>
              <w:rPr>
                <w:sz w:val="18"/>
                <w:szCs w:val="18"/>
                <w:lang w:val="en-US"/>
              </w:rPr>
            </w:pPr>
            <w:r>
              <w:rPr>
                <w:sz w:val="18"/>
                <w:szCs w:val="18"/>
                <w:lang w:val="en-US"/>
              </w:rPr>
              <w:t>0.10</w:t>
            </w:r>
          </w:p>
        </w:tc>
      </w:tr>
      <w:tr w14:paraId="45C85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0C96C1DC">
            <w:pPr>
              <w:spacing w:line="400" w:lineRule="exact"/>
              <w:jc w:val="center"/>
              <w:rPr>
                <w:sz w:val="18"/>
                <w:szCs w:val="18"/>
                <w:lang w:val="en-US"/>
              </w:rPr>
            </w:pPr>
            <w:r>
              <w:rPr>
                <w:rFonts w:hint="eastAsia"/>
                <w:sz w:val="18"/>
                <w:szCs w:val="18"/>
                <w:lang w:val="en-US"/>
              </w:rPr>
              <w:t>3层</w:t>
            </w:r>
          </w:p>
        </w:tc>
        <w:tc>
          <w:tcPr>
            <w:tcW w:w="2142" w:type="dxa"/>
            <w:vAlign w:val="center"/>
          </w:tcPr>
          <w:p w14:paraId="53CF23A6">
            <w:pPr>
              <w:spacing w:line="400" w:lineRule="exact"/>
              <w:jc w:val="center"/>
              <w:rPr>
                <w:sz w:val="18"/>
                <w:szCs w:val="18"/>
                <w:lang w:val="en-US"/>
              </w:rPr>
            </w:pPr>
            <w:r>
              <w:rPr>
                <w:sz w:val="18"/>
                <w:szCs w:val="18"/>
                <w:lang w:val="en-US"/>
              </w:rPr>
              <w:t>-29.65</w:t>
            </w:r>
          </w:p>
        </w:tc>
        <w:tc>
          <w:tcPr>
            <w:tcW w:w="2268" w:type="dxa"/>
            <w:vAlign w:val="center"/>
          </w:tcPr>
          <w:p w14:paraId="093402A5">
            <w:pPr>
              <w:spacing w:line="400" w:lineRule="exact"/>
              <w:jc w:val="center"/>
              <w:rPr>
                <w:sz w:val="18"/>
                <w:szCs w:val="18"/>
                <w:lang w:val="en-US"/>
              </w:rPr>
            </w:pPr>
            <w:r>
              <w:rPr>
                <w:sz w:val="18"/>
                <w:szCs w:val="18"/>
                <w:lang w:val="en-US"/>
              </w:rPr>
              <w:t>-31.78</w:t>
            </w:r>
          </w:p>
        </w:tc>
        <w:tc>
          <w:tcPr>
            <w:tcW w:w="2551" w:type="dxa"/>
            <w:vAlign w:val="center"/>
          </w:tcPr>
          <w:p w14:paraId="5554E9A8">
            <w:pPr>
              <w:spacing w:line="400" w:lineRule="exact"/>
              <w:jc w:val="center"/>
              <w:rPr>
                <w:sz w:val="18"/>
                <w:szCs w:val="18"/>
                <w:lang w:val="en-US"/>
              </w:rPr>
            </w:pPr>
            <w:r>
              <w:rPr>
                <w:sz w:val="18"/>
                <w:szCs w:val="18"/>
                <w:lang w:val="en-US"/>
              </w:rPr>
              <w:t>2.13</w:t>
            </w:r>
          </w:p>
        </w:tc>
      </w:tr>
      <w:tr w14:paraId="476A1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5F631BA2">
            <w:pPr>
              <w:spacing w:line="400" w:lineRule="exact"/>
              <w:jc w:val="center"/>
              <w:rPr>
                <w:sz w:val="18"/>
                <w:szCs w:val="18"/>
                <w:lang w:val="en-US"/>
              </w:rPr>
            </w:pPr>
            <w:r>
              <w:rPr>
                <w:rFonts w:hint="eastAsia"/>
                <w:sz w:val="18"/>
                <w:szCs w:val="18"/>
                <w:lang w:val="en-US"/>
              </w:rPr>
              <w:t>整楼</w:t>
            </w:r>
          </w:p>
        </w:tc>
        <w:tc>
          <w:tcPr>
            <w:tcW w:w="2142" w:type="dxa"/>
            <w:vAlign w:val="center"/>
          </w:tcPr>
          <w:p w14:paraId="15FC92CA">
            <w:pPr>
              <w:spacing w:line="400" w:lineRule="exact"/>
              <w:jc w:val="center"/>
              <w:rPr>
                <w:sz w:val="18"/>
                <w:szCs w:val="18"/>
                <w:lang w:val="en-US"/>
              </w:rPr>
            </w:pPr>
            <w:r>
              <w:rPr>
                <w:sz w:val="18"/>
                <w:szCs w:val="18"/>
                <w:lang w:val="en-US"/>
              </w:rPr>
              <w:t>-29.22</w:t>
            </w:r>
          </w:p>
        </w:tc>
        <w:tc>
          <w:tcPr>
            <w:tcW w:w="2268" w:type="dxa"/>
            <w:vAlign w:val="center"/>
          </w:tcPr>
          <w:p w14:paraId="779D0FE1">
            <w:pPr>
              <w:spacing w:line="400" w:lineRule="exact"/>
              <w:jc w:val="center"/>
              <w:rPr>
                <w:sz w:val="18"/>
                <w:szCs w:val="18"/>
                <w:lang w:val="en-US"/>
              </w:rPr>
            </w:pPr>
            <w:r>
              <w:rPr>
                <w:sz w:val="18"/>
                <w:szCs w:val="18"/>
                <w:lang w:val="en-US"/>
              </w:rPr>
              <w:t>-34.73</w:t>
            </w:r>
          </w:p>
        </w:tc>
        <w:tc>
          <w:tcPr>
            <w:tcW w:w="2551" w:type="dxa"/>
            <w:vAlign w:val="center"/>
          </w:tcPr>
          <w:p w14:paraId="2C12F829">
            <w:pPr>
              <w:spacing w:line="400" w:lineRule="exact"/>
              <w:jc w:val="center"/>
              <w:rPr>
                <w:sz w:val="18"/>
                <w:szCs w:val="18"/>
                <w:lang w:val="en-US"/>
              </w:rPr>
            </w:pPr>
            <w:r>
              <w:rPr>
                <w:sz w:val="18"/>
                <w:szCs w:val="18"/>
                <w:lang w:val="en-US"/>
              </w:rPr>
              <w:t>5.51</w:t>
            </w:r>
          </w:p>
        </w:tc>
      </w:tr>
      <w:bookmarkEnd w:id="0"/>
      <w:bookmarkEnd w:id="2"/>
    </w:tbl>
    <w:p w14:paraId="5C01898E"/>
    <w:p w14:paraId="3FEFE122">
      <w:pPr>
        <w:pStyle w:val="3"/>
        <w:ind w:firstLine="420"/>
        <w:rPr>
          <w:rFonts w:ascii="微软雅黑" w:hAnsi="微软雅黑" w:eastAsia="微软雅黑"/>
          <w:lang w:val="en-US"/>
        </w:rPr>
      </w:pPr>
      <w:bookmarkStart w:id="166" w:name="迎风建筑信息参评"/>
      <w:bookmarkEnd w:id="166"/>
    </w:p>
    <w:p w14:paraId="1079FFAF">
      <w:pPr>
        <w:pStyle w:val="4"/>
      </w:pPr>
      <w:bookmarkStart w:id="167" w:name="_Toc28400"/>
      <w:r>
        <w:rPr>
          <w:rFonts w:hint="eastAsia"/>
        </w:rPr>
        <w:t>不参评建筑迎背风面窗平均风压差表</w:t>
      </w:r>
      <w:bookmarkEnd w:id="167"/>
    </w:p>
    <w:p w14:paraId="532318CE">
      <w:pPr>
        <w:pStyle w:val="3"/>
        <w:ind w:firstLine="420"/>
        <w:rPr>
          <w:rFonts w:ascii="微软雅黑" w:hAnsi="微软雅黑" w:eastAsia="微软雅黑"/>
          <w:lang w:val="en-US"/>
        </w:rPr>
      </w:pPr>
      <w:bookmarkStart w:id="168" w:name="迎风建筑信息不参评"/>
      <w:bookmarkEnd w:id="168"/>
    </w:p>
    <w:bookmarkEnd w:id="164"/>
    <w:p w14:paraId="71832452">
      <w:pPr>
        <w:pStyle w:val="3"/>
        <w:ind w:firstLine="0" w:firstLineChars="0"/>
        <w:rPr>
          <w:rFonts w:ascii="微软雅黑" w:hAnsi="微软雅黑" w:eastAsia="微软雅黑"/>
          <w:lang w:val="en-US"/>
        </w:rPr>
      </w:pPr>
    </w:p>
    <w:sectPr>
      <w:headerReference r:id="rId6" w:type="default"/>
      <w:pgSz w:w="11906" w:h="16838"/>
      <w:pgMar w:top="1440" w:right="1800" w:bottom="1440" w:left="1800"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47025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31B8E274">
          <w:pPr>
            <w:pStyle w:val="17"/>
            <w:spacing w:line="360" w:lineRule="exact"/>
            <w:rPr>
              <w:sz w:val="20"/>
              <w:szCs w:val="21"/>
            </w:rPr>
          </w:pPr>
        </w:p>
      </w:tc>
      <w:tc>
        <w:tcPr>
          <w:tcW w:w="2841" w:type="dxa"/>
        </w:tcPr>
        <w:p w14:paraId="0891AE41">
          <w:pPr>
            <w:pStyle w:val="17"/>
            <w:spacing w:line="360" w:lineRule="exact"/>
            <w:jc w:val="center"/>
            <w:rPr>
              <w:sz w:val="20"/>
              <w:szCs w:val="21"/>
            </w:rPr>
          </w:pPr>
          <w:sdt>
            <w:sdtPr>
              <w:rPr>
                <w:sz w:val="20"/>
              </w:rPr>
              <w:id w:val="-524636966"/>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11</w:t>
              </w:r>
              <w:r>
                <w:rPr>
                  <w:bCs/>
                  <w:sz w:val="20"/>
                  <w:szCs w:val="21"/>
                </w:rPr>
                <w:fldChar w:fldCharType="end"/>
              </w:r>
              <w:r>
                <w:rPr>
                  <w:rFonts w:hint="eastAsia"/>
                  <w:bCs/>
                  <w:sz w:val="20"/>
                  <w:szCs w:val="21"/>
                </w:rPr>
                <w:t>页</w:t>
              </w:r>
            </w:sdtContent>
          </w:sdt>
        </w:p>
      </w:tc>
      <w:tc>
        <w:tcPr>
          <w:tcW w:w="2841" w:type="dxa"/>
        </w:tcPr>
        <w:p w14:paraId="464778D2">
          <w:pPr>
            <w:pStyle w:val="17"/>
            <w:spacing w:line="360" w:lineRule="exact"/>
            <w:jc w:val="right"/>
            <w:rPr>
              <w:sz w:val="20"/>
              <w:szCs w:val="21"/>
            </w:rPr>
          </w:pPr>
        </w:p>
      </w:tc>
    </w:tr>
  </w:tbl>
  <w:p w14:paraId="01592D8F">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E267E">
    <w:pPr>
      <w:pStyle w:val="17"/>
      <w:jc w:val="center"/>
      <w:rPr>
        <w:rFonts w:asciiTheme="minorEastAsia" w:hAnsiTheme="minorEastAsia" w:eastAsiaTheme="minorEastAsia"/>
        <w:szCs w:val="21"/>
      </w:rPr>
    </w:pPr>
  </w:p>
  <w:p w14:paraId="420C2DFC">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826F3">
    <w:pPr>
      <w:pStyle w:val="18"/>
      <w:pBdr>
        <w:bottom w:val="single" w:color="auto" w:sz="6" w:space="0"/>
      </w:pBdr>
      <w:jc w:val="left"/>
    </w:pPr>
    <w:r>
      <w:rPr>
        <w:lang w:val="en-US"/>
      </w:rPr>
      <w:drawing>
        <wp:inline distT="0" distB="0" distL="0" distR="0">
          <wp:extent cx="866140" cy="2514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8712D">
    <w:pPr>
      <w:pStyle w:val="18"/>
      <w:pBdr>
        <w:bottom w:val="single" w:color="auto" w:sz="6" w:space="0"/>
      </w:pBdr>
      <w:jc w:val="left"/>
    </w:pPr>
    <w:r>
      <w:rPr>
        <w:lang w:val="en-US"/>
      </w:rPr>
      <w:drawing>
        <wp:inline distT="0" distB="0" distL="0" distR="0">
          <wp:extent cx="866140" cy="25146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61217A"/>
    <w:rsid w:val="00000E39"/>
    <w:rsid w:val="00005045"/>
    <w:rsid w:val="0000578F"/>
    <w:rsid w:val="0002001E"/>
    <w:rsid w:val="000219DF"/>
    <w:rsid w:val="000268F9"/>
    <w:rsid w:val="00037A4C"/>
    <w:rsid w:val="000678A8"/>
    <w:rsid w:val="00067FD6"/>
    <w:rsid w:val="00070047"/>
    <w:rsid w:val="00073958"/>
    <w:rsid w:val="00076B16"/>
    <w:rsid w:val="00076D70"/>
    <w:rsid w:val="00081A16"/>
    <w:rsid w:val="000835FF"/>
    <w:rsid w:val="000A18D8"/>
    <w:rsid w:val="000A23A8"/>
    <w:rsid w:val="000A3C68"/>
    <w:rsid w:val="000B78A5"/>
    <w:rsid w:val="000C146F"/>
    <w:rsid w:val="000C1855"/>
    <w:rsid w:val="000C291D"/>
    <w:rsid w:val="000C3B77"/>
    <w:rsid w:val="000D16B8"/>
    <w:rsid w:val="000D7A8A"/>
    <w:rsid w:val="000E5D7D"/>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47DF7"/>
    <w:rsid w:val="001511A3"/>
    <w:rsid w:val="00153AEE"/>
    <w:rsid w:val="001565FC"/>
    <w:rsid w:val="001570B9"/>
    <w:rsid w:val="0016330F"/>
    <w:rsid w:val="0016667B"/>
    <w:rsid w:val="001737F9"/>
    <w:rsid w:val="001773DA"/>
    <w:rsid w:val="00184656"/>
    <w:rsid w:val="00186918"/>
    <w:rsid w:val="001A38B7"/>
    <w:rsid w:val="001A7C37"/>
    <w:rsid w:val="001B6D59"/>
    <w:rsid w:val="001B7C87"/>
    <w:rsid w:val="001C1C39"/>
    <w:rsid w:val="001C795C"/>
    <w:rsid w:val="001D3071"/>
    <w:rsid w:val="001D3BB9"/>
    <w:rsid w:val="001D3F33"/>
    <w:rsid w:val="001E133A"/>
    <w:rsid w:val="001F01FD"/>
    <w:rsid w:val="00201812"/>
    <w:rsid w:val="00203163"/>
    <w:rsid w:val="00203A7D"/>
    <w:rsid w:val="00213B3C"/>
    <w:rsid w:val="00215D00"/>
    <w:rsid w:val="00215EBC"/>
    <w:rsid w:val="00217F09"/>
    <w:rsid w:val="0022597C"/>
    <w:rsid w:val="002431AE"/>
    <w:rsid w:val="002555B8"/>
    <w:rsid w:val="00284FB2"/>
    <w:rsid w:val="00292AFC"/>
    <w:rsid w:val="0029328A"/>
    <w:rsid w:val="00295C3C"/>
    <w:rsid w:val="00295D20"/>
    <w:rsid w:val="002A1AF2"/>
    <w:rsid w:val="002A5BD0"/>
    <w:rsid w:val="002A60F5"/>
    <w:rsid w:val="002B090C"/>
    <w:rsid w:val="002B2E78"/>
    <w:rsid w:val="002B7314"/>
    <w:rsid w:val="002C153B"/>
    <w:rsid w:val="002D12A0"/>
    <w:rsid w:val="002D2322"/>
    <w:rsid w:val="002E4CD4"/>
    <w:rsid w:val="002E702B"/>
    <w:rsid w:val="0030437C"/>
    <w:rsid w:val="00305A07"/>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E5CA2"/>
    <w:rsid w:val="004F0639"/>
    <w:rsid w:val="0050569B"/>
    <w:rsid w:val="00511D13"/>
    <w:rsid w:val="00512B1A"/>
    <w:rsid w:val="005215FB"/>
    <w:rsid w:val="005326EE"/>
    <w:rsid w:val="00537CCE"/>
    <w:rsid w:val="00537E4B"/>
    <w:rsid w:val="00540765"/>
    <w:rsid w:val="00547D69"/>
    <w:rsid w:val="00562403"/>
    <w:rsid w:val="00566115"/>
    <w:rsid w:val="005725E0"/>
    <w:rsid w:val="005755BA"/>
    <w:rsid w:val="00582116"/>
    <w:rsid w:val="0058501E"/>
    <w:rsid w:val="0058600E"/>
    <w:rsid w:val="005910E8"/>
    <w:rsid w:val="005928FB"/>
    <w:rsid w:val="00594562"/>
    <w:rsid w:val="005A1031"/>
    <w:rsid w:val="005A1B63"/>
    <w:rsid w:val="005A21DB"/>
    <w:rsid w:val="005A317A"/>
    <w:rsid w:val="005A3A23"/>
    <w:rsid w:val="005A7732"/>
    <w:rsid w:val="005A7F1B"/>
    <w:rsid w:val="005B7445"/>
    <w:rsid w:val="005C069E"/>
    <w:rsid w:val="005C6629"/>
    <w:rsid w:val="005D1E21"/>
    <w:rsid w:val="005E2482"/>
    <w:rsid w:val="005F1609"/>
    <w:rsid w:val="005F4F73"/>
    <w:rsid w:val="005F689E"/>
    <w:rsid w:val="006031E6"/>
    <w:rsid w:val="006105F7"/>
    <w:rsid w:val="006156D5"/>
    <w:rsid w:val="0062338D"/>
    <w:rsid w:val="006254D5"/>
    <w:rsid w:val="00634E08"/>
    <w:rsid w:val="00642291"/>
    <w:rsid w:val="00642309"/>
    <w:rsid w:val="00646118"/>
    <w:rsid w:val="00647810"/>
    <w:rsid w:val="00654C63"/>
    <w:rsid w:val="00661405"/>
    <w:rsid w:val="00662EF0"/>
    <w:rsid w:val="006645DE"/>
    <w:rsid w:val="00670E9B"/>
    <w:rsid w:val="006723F0"/>
    <w:rsid w:val="00672C75"/>
    <w:rsid w:val="0067336D"/>
    <w:rsid w:val="00674121"/>
    <w:rsid w:val="0068014A"/>
    <w:rsid w:val="00683BC8"/>
    <w:rsid w:val="00694FCA"/>
    <w:rsid w:val="0069542D"/>
    <w:rsid w:val="00696F9A"/>
    <w:rsid w:val="006A07C2"/>
    <w:rsid w:val="006A3243"/>
    <w:rsid w:val="006B6C00"/>
    <w:rsid w:val="006C2D59"/>
    <w:rsid w:val="006C2DCC"/>
    <w:rsid w:val="006D02D6"/>
    <w:rsid w:val="006D45E8"/>
    <w:rsid w:val="006E2867"/>
    <w:rsid w:val="006F289F"/>
    <w:rsid w:val="006F3036"/>
    <w:rsid w:val="007064C5"/>
    <w:rsid w:val="00712C8C"/>
    <w:rsid w:val="0071616F"/>
    <w:rsid w:val="007260D0"/>
    <w:rsid w:val="007302A5"/>
    <w:rsid w:val="00732D83"/>
    <w:rsid w:val="007363B1"/>
    <w:rsid w:val="00741470"/>
    <w:rsid w:val="007446D1"/>
    <w:rsid w:val="00745913"/>
    <w:rsid w:val="0074750E"/>
    <w:rsid w:val="00751D7B"/>
    <w:rsid w:val="00754FB6"/>
    <w:rsid w:val="00762314"/>
    <w:rsid w:val="007628A1"/>
    <w:rsid w:val="00767FE1"/>
    <w:rsid w:val="00777C7C"/>
    <w:rsid w:val="00781187"/>
    <w:rsid w:val="00782889"/>
    <w:rsid w:val="00790965"/>
    <w:rsid w:val="00791AFD"/>
    <w:rsid w:val="007A20AF"/>
    <w:rsid w:val="007A5318"/>
    <w:rsid w:val="007A5B26"/>
    <w:rsid w:val="007A5B7A"/>
    <w:rsid w:val="007B2D7C"/>
    <w:rsid w:val="007B3E87"/>
    <w:rsid w:val="007B61C5"/>
    <w:rsid w:val="007C15B9"/>
    <w:rsid w:val="007C4F93"/>
    <w:rsid w:val="007C5197"/>
    <w:rsid w:val="007C52FA"/>
    <w:rsid w:val="007D02FB"/>
    <w:rsid w:val="007D224D"/>
    <w:rsid w:val="007D28CA"/>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38E5"/>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2F8C"/>
    <w:rsid w:val="00974ECB"/>
    <w:rsid w:val="009812A9"/>
    <w:rsid w:val="009904E5"/>
    <w:rsid w:val="009A2274"/>
    <w:rsid w:val="009A4F1F"/>
    <w:rsid w:val="009C1CEB"/>
    <w:rsid w:val="009C4D89"/>
    <w:rsid w:val="009E2DE9"/>
    <w:rsid w:val="009F2CAC"/>
    <w:rsid w:val="00A11D6B"/>
    <w:rsid w:val="00A13E64"/>
    <w:rsid w:val="00A23D26"/>
    <w:rsid w:val="00A273C5"/>
    <w:rsid w:val="00A32590"/>
    <w:rsid w:val="00A327ED"/>
    <w:rsid w:val="00A352C9"/>
    <w:rsid w:val="00A355BD"/>
    <w:rsid w:val="00A41C1F"/>
    <w:rsid w:val="00A472CE"/>
    <w:rsid w:val="00A628B2"/>
    <w:rsid w:val="00A72C6C"/>
    <w:rsid w:val="00A7322A"/>
    <w:rsid w:val="00A7462A"/>
    <w:rsid w:val="00A7598E"/>
    <w:rsid w:val="00A8181B"/>
    <w:rsid w:val="00A8393F"/>
    <w:rsid w:val="00AA26C7"/>
    <w:rsid w:val="00AA47FE"/>
    <w:rsid w:val="00AB00F6"/>
    <w:rsid w:val="00AB3E6E"/>
    <w:rsid w:val="00AC7C9E"/>
    <w:rsid w:val="00AC7EEF"/>
    <w:rsid w:val="00AD1722"/>
    <w:rsid w:val="00AD239C"/>
    <w:rsid w:val="00AE0FC4"/>
    <w:rsid w:val="00AE5F8F"/>
    <w:rsid w:val="00B01598"/>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1F9F"/>
    <w:rsid w:val="00B824AA"/>
    <w:rsid w:val="00B84271"/>
    <w:rsid w:val="00B86C89"/>
    <w:rsid w:val="00BA25C3"/>
    <w:rsid w:val="00BB1BF9"/>
    <w:rsid w:val="00BD0C1B"/>
    <w:rsid w:val="00BD7E90"/>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77BC0"/>
    <w:rsid w:val="00C86FAA"/>
    <w:rsid w:val="00C87AC6"/>
    <w:rsid w:val="00C94BB7"/>
    <w:rsid w:val="00C976BE"/>
    <w:rsid w:val="00C97E25"/>
    <w:rsid w:val="00C97F88"/>
    <w:rsid w:val="00CA1378"/>
    <w:rsid w:val="00CB0266"/>
    <w:rsid w:val="00CB0F5E"/>
    <w:rsid w:val="00CB2732"/>
    <w:rsid w:val="00CB7C65"/>
    <w:rsid w:val="00CE1771"/>
    <w:rsid w:val="00CE28AA"/>
    <w:rsid w:val="00CE6B55"/>
    <w:rsid w:val="00CF109A"/>
    <w:rsid w:val="00CF421E"/>
    <w:rsid w:val="00D13ABE"/>
    <w:rsid w:val="00D233EB"/>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15CB"/>
    <w:rsid w:val="00DA4173"/>
    <w:rsid w:val="00DA66B2"/>
    <w:rsid w:val="00DB09A4"/>
    <w:rsid w:val="00DC5E38"/>
    <w:rsid w:val="00DC73AD"/>
    <w:rsid w:val="00DD16C4"/>
    <w:rsid w:val="00DD2870"/>
    <w:rsid w:val="00DE6D07"/>
    <w:rsid w:val="00DF1DCD"/>
    <w:rsid w:val="00DF470C"/>
    <w:rsid w:val="00DF486E"/>
    <w:rsid w:val="00E05025"/>
    <w:rsid w:val="00E11160"/>
    <w:rsid w:val="00E14637"/>
    <w:rsid w:val="00E14A0C"/>
    <w:rsid w:val="00E1693B"/>
    <w:rsid w:val="00E16C90"/>
    <w:rsid w:val="00E263C0"/>
    <w:rsid w:val="00E27B4C"/>
    <w:rsid w:val="00E35ABB"/>
    <w:rsid w:val="00E36856"/>
    <w:rsid w:val="00E4511A"/>
    <w:rsid w:val="00E52B53"/>
    <w:rsid w:val="00E60BFC"/>
    <w:rsid w:val="00E660D6"/>
    <w:rsid w:val="00E72A20"/>
    <w:rsid w:val="00E81ACD"/>
    <w:rsid w:val="00E872A7"/>
    <w:rsid w:val="00E90F14"/>
    <w:rsid w:val="00E91EF3"/>
    <w:rsid w:val="00E93A42"/>
    <w:rsid w:val="00EA30EF"/>
    <w:rsid w:val="00EA5DEE"/>
    <w:rsid w:val="00EB1BD1"/>
    <w:rsid w:val="00EB5344"/>
    <w:rsid w:val="00EB67C0"/>
    <w:rsid w:val="00EE1BA7"/>
    <w:rsid w:val="00EE68A9"/>
    <w:rsid w:val="00EE7411"/>
    <w:rsid w:val="00EF3DA5"/>
    <w:rsid w:val="00EF7114"/>
    <w:rsid w:val="00F0656F"/>
    <w:rsid w:val="00F10F02"/>
    <w:rsid w:val="00F30C12"/>
    <w:rsid w:val="00F44EF3"/>
    <w:rsid w:val="00F5023B"/>
    <w:rsid w:val="00F67DF1"/>
    <w:rsid w:val="00F74339"/>
    <w:rsid w:val="00F7520A"/>
    <w:rsid w:val="00F75DD1"/>
    <w:rsid w:val="00F82EDB"/>
    <w:rsid w:val="00F97363"/>
    <w:rsid w:val="00FA1E99"/>
    <w:rsid w:val="00FA4B87"/>
    <w:rsid w:val="00FA58D9"/>
    <w:rsid w:val="00FB28FF"/>
    <w:rsid w:val="00FB6C39"/>
    <w:rsid w:val="00FC7756"/>
    <w:rsid w:val="00FE4CC4"/>
    <w:rsid w:val="00FE79B9"/>
    <w:rsid w:val="00FF2243"/>
    <w:rsid w:val="24CF1E67"/>
    <w:rsid w:val="3F612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37"/>
    <w:autoRedefine/>
    <w:qFormat/>
    <w:uiPriority w:val="0"/>
    <w:pPr>
      <w:keepNext/>
      <w:numPr>
        <w:ilvl w:val="3"/>
        <w:numId w:val="1"/>
      </w:numPr>
      <w:ind w:left="862" w:hanging="862"/>
      <w:outlineLvl w:val="3"/>
    </w:pPr>
    <w:rPr>
      <w:b/>
      <w:bCs/>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100" w:firstLineChars="100"/>
    </w:pPr>
    <w:rPr>
      <w:kern w:val="2"/>
      <w:lang w:val="en-US"/>
    </w:rPr>
  </w:style>
  <w:style w:type="paragraph" w:styleId="16">
    <w:name w:val="Balloon Text"/>
    <w:basedOn w:val="1"/>
    <w:link w:val="34"/>
    <w:qFormat/>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00" w:lineRule="exact"/>
    </w:pPr>
    <w:rPr>
      <w:b/>
      <w:bCs/>
      <w:kern w:val="2"/>
      <w:lang w:val="en-US"/>
    </w:rPr>
  </w:style>
  <w:style w:type="paragraph" w:styleId="20">
    <w:name w:val="toc 2"/>
    <w:basedOn w:val="1"/>
    <w:next w:val="1"/>
    <w:autoRedefine/>
    <w:qFormat/>
    <w:uiPriority w:val="39"/>
    <w:pPr>
      <w:tabs>
        <w:tab w:val="left" w:pos="540"/>
        <w:tab w:val="left" w:pos="840"/>
        <w:tab w:val="right" w:leader="dot" w:pos="8222"/>
        <w:tab w:val="right" w:leader="dot" w:pos="8296"/>
      </w:tabs>
      <w:spacing w:line="400" w:lineRule="exact"/>
      <w:ind w:left="198"/>
    </w:pPr>
    <w:rPr>
      <w:kern w:val="2"/>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rFonts w:eastAsia="微软雅黑"/>
      <w:b/>
      <w:bCs/>
      <w:kern w:val="32"/>
      <w:sz w:val="28"/>
      <w:szCs w:val="28"/>
    </w:rPr>
  </w:style>
  <w:style w:type="character" w:customStyle="1" w:styleId="28">
    <w:name w:val="标题 2 字符"/>
    <w:link w:val="4"/>
    <w:qFormat/>
    <w:uiPriority w:val="0"/>
    <w:rPr>
      <w:rFonts w:ascii="微软雅黑" w:hAnsi="微软雅黑" w:eastAsia="微软雅黑" w:cs="微软雅黑"/>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autoRedefine/>
    <w:qFormat/>
    <w:uiPriority w:val="0"/>
    <w:pPr>
      <w:shd w:val="clear" w:color="auto" w:fill="FFFFFF"/>
      <w:ind w:firstLine="200" w:firstLineChars="200"/>
    </w:pPr>
    <w:rPr>
      <w:rFonts w:ascii="微软雅黑" w:hAnsi="微软雅黑" w:eastAsia="微软雅黑" w:cs="微软雅黑"/>
      <w:color w:val="000000"/>
      <w:sz w:val="21"/>
      <w:szCs w:val="21"/>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微软雅黑" w:hAnsi="微软雅黑" w:eastAsia="微软雅黑" w:cs="微软雅黑"/>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rFonts w:ascii="微软雅黑" w:hAnsi="微软雅黑" w:eastAsia="微软雅黑" w:cs="微软雅黑"/>
      <w:b/>
      <w:bCs/>
      <w:sz w:val="21"/>
      <w:szCs w:val="21"/>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 w:type="character" w:customStyle="1" w:styleId="45">
    <w:name w:val="封面表格 字符"/>
    <w:basedOn w:val="23"/>
    <w:link w:val="46"/>
    <w:qFormat/>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qFormat/>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szCs w:val="20"/>
    </w:rPr>
  </w:style>
  <w:style w:type="character" w:customStyle="1" w:styleId="49">
    <w:name w:val="封面信息 字符"/>
    <w:basedOn w:val="45"/>
    <w:link w:val="50"/>
    <w:qFormat/>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2" Type="http://schemas.openxmlformats.org/officeDocument/2006/relationships/fontTable" Target="fontTable.xml"/><Relationship Id="rId41" Type="http://schemas.openxmlformats.org/officeDocument/2006/relationships/customXml" Target="../customXml/item1.xml"/><Relationship Id="rId40" Type="http://schemas.openxmlformats.org/officeDocument/2006/relationships/numbering" Target="numbering.xml"/><Relationship Id="rId4" Type="http://schemas.openxmlformats.org/officeDocument/2006/relationships/footer" Target="footer1.xml"/><Relationship Id="rId39" Type="http://schemas.openxmlformats.org/officeDocument/2006/relationships/image" Target="media/image26.png"/><Relationship Id="rId38" Type="http://schemas.openxmlformats.org/officeDocument/2006/relationships/image" Target="media/image25.png"/><Relationship Id="rId37" Type="http://schemas.openxmlformats.org/officeDocument/2006/relationships/image" Target="media/image24.png"/><Relationship Id="rId36" Type="http://schemas.openxmlformats.org/officeDocument/2006/relationships/image" Target="media/image23.png"/><Relationship Id="rId35" Type="http://schemas.openxmlformats.org/officeDocument/2006/relationships/image" Target="media/image22.png"/><Relationship Id="rId34" Type="http://schemas.openxmlformats.org/officeDocument/2006/relationships/image" Target="media/image21.png"/><Relationship Id="rId33" Type="http://schemas.openxmlformats.org/officeDocument/2006/relationships/image" Target="media/image20.png"/><Relationship Id="rId32" Type="http://schemas.openxmlformats.org/officeDocument/2006/relationships/image" Target="media/image19.png"/><Relationship Id="rId31" Type="http://schemas.openxmlformats.org/officeDocument/2006/relationships/image" Target="media/image18.png"/><Relationship Id="rId30" Type="http://schemas.openxmlformats.org/officeDocument/2006/relationships/image" Target="media/image17.png"/><Relationship Id="rId3" Type="http://schemas.openxmlformats.org/officeDocument/2006/relationships/header" Target="header1.xml"/><Relationship Id="rId29" Type="http://schemas.openxmlformats.org/officeDocument/2006/relationships/image" Target="media/image16.wmf"/><Relationship Id="rId28" Type="http://schemas.openxmlformats.org/officeDocument/2006/relationships/oleObject" Target="embeddings/oleObject7.bin"/><Relationship Id="rId27" Type="http://schemas.openxmlformats.org/officeDocument/2006/relationships/image" Target="media/image15.wmf"/><Relationship Id="rId26" Type="http://schemas.openxmlformats.org/officeDocument/2006/relationships/oleObject" Target="embeddings/oleObject6.bin"/><Relationship Id="rId25" Type="http://schemas.openxmlformats.org/officeDocument/2006/relationships/image" Target="media/image14.wmf"/><Relationship Id="rId24" Type="http://schemas.openxmlformats.org/officeDocument/2006/relationships/oleObject" Target="embeddings/oleObject5.bin"/><Relationship Id="rId23" Type="http://schemas.openxmlformats.org/officeDocument/2006/relationships/image" Target="media/image13.wmf"/><Relationship Id="rId22" Type="http://schemas.openxmlformats.org/officeDocument/2006/relationships/oleObject" Target="embeddings/oleObject4.bin"/><Relationship Id="rId21" Type="http://schemas.openxmlformats.org/officeDocument/2006/relationships/image" Target="media/image12.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oleObject" Target="embeddings/oleObject2.bin"/><Relationship Id="rId17" Type="http://schemas.openxmlformats.org/officeDocument/2006/relationships/image" Target="media/image10.wmf"/><Relationship Id="rId16" Type="http://schemas.openxmlformats.org/officeDocument/2006/relationships/oleObject" Target="embeddings/oleObject1.bin"/><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A8A27-FDC9-4E87-B56C-41D9041062CF}">
  <ds:schemaRefs/>
</ds:datastoreItem>
</file>

<file path=docProps/app.xml><?xml version="1.0" encoding="utf-8"?>
<Properties xmlns="http://schemas.openxmlformats.org/officeDocument/2006/extended-properties" xmlns:vt="http://schemas.openxmlformats.org/officeDocument/2006/docPropsVTypes">
  <Template>tmp12.dotx</Template>
  <Pages>23</Pages>
  <Words>6488</Words>
  <Characters>7552</Characters>
  <Lines>47</Lines>
  <Paragraphs>13</Paragraphs>
  <TotalTime>0</TotalTime>
  <ScaleCrop>false</ScaleCrop>
  <LinksUpToDate>false</LinksUpToDate>
  <CharactersWithSpaces>9798</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2026-01-03T09:19:00Z</dcterms:created>
  <dc:creator>娅娅</dc:creator>
  <cp:lastModifiedBy>娅娅</cp:lastModifiedBy>
  <dcterms:modified xsi:type="dcterms:W3CDTF">2026-01-03T09:19:58Z</dcterms:modified>
  <dc:title>室外风环境模拟分析报告</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3390AA20821A4BF193814B880122B457_11</vt:lpwstr>
  </property>
  <property fmtid="{D5CDD505-2E9C-101B-9397-08002B2CF9AE}" pid="4" name="KSOTemplateDocerSaveRecord">
    <vt:lpwstr>eyJoZGlkIjoiODZkNjFmZTJjNjQ0Y2Q4NGMyMzYxYzhhYjJkNWQyNTgiLCJ1c2VySWQiOiI3NTM5Njk3MzEifQ==</vt:lpwstr>
  </property>
</Properties>
</file>