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59F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电力交互系统运行记录</w:t>
      </w:r>
    </w:p>
    <w:p w14:paraId="6132107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一、记录内容</w:t>
      </w:r>
    </w:p>
    <w:p w14:paraId="6A2B99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5"/>
        <w:gridCol w:w="1175"/>
        <w:gridCol w:w="1844"/>
        <w:gridCol w:w="1190"/>
      </w:tblGrid>
      <w:tr w14:paraId="6609E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0AD938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日期</w:t>
            </w:r>
          </w:p>
        </w:tc>
        <w:tc>
          <w:tcPr>
            <w:tcW w:w="0" w:type="auto"/>
            <w:shd w:val="clear"/>
            <w:vAlign w:val="center"/>
          </w:tcPr>
          <w:p w14:paraId="4D234E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可调负荷比例</w:t>
            </w:r>
          </w:p>
        </w:tc>
        <w:tc>
          <w:tcPr>
            <w:tcW w:w="0" w:type="auto"/>
            <w:shd w:val="clear"/>
            <w:vAlign w:val="center"/>
          </w:tcPr>
          <w:p w14:paraId="250F84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电网交互电量（kWh）</w:t>
            </w:r>
          </w:p>
        </w:tc>
        <w:tc>
          <w:tcPr>
            <w:tcW w:w="0" w:type="auto"/>
            <w:shd w:val="clear"/>
            <w:vAlign w:val="center"/>
          </w:tcPr>
          <w:p w14:paraId="1EDCC2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负荷调节效果</w:t>
            </w:r>
          </w:p>
        </w:tc>
      </w:tr>
      <w:tr w14:paraId="29F65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78845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2026.03.01</w:t>
            </w:r>
          </w:p>
        </w:tc>
        <w:tc>
          <w:tcPr>
            <w:tcW w:w="0" w:type="auto"/>
            <w:shd w:val="clear"/>
            <w:vAlign w:val="center"/>
          </w:tcPr>
          <w:p w14:paraId="7D35A9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19.8%</w:t>
            </w:r>
          </w:p>
        </w:tc>
        <w:tc>
          <w:tcPr>
            <w:tcW w:w="0" w:type="auto"/>
            <w:shd w:val="clear"/>
            <w:vAlign w:val="center"/>
          </w:tcPr>
          <w:p w14:paraId="2DC43C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+1200（余电上网）</w:t>
            </w:r>
          </w:p>
        </w:tc>
        <w:tc>
          <w:tcPr>
            <w:tcW w:w="0" w:type="auto"/>
            <w:shd w:val="clear"/>
            <w:vAlign w:val="center"/>
          </w:tcPr>
          <w:p w14:paraId="6FC8AD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 w14:paraId="2506E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EDB13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2026.03.02</w:t>
            </w:r>
          </w:p>
        </w:tc>
        <w:tc>
          <w:tcPr>
            <w:tcW w:w="0" w:type="auto"/>
            <w:shd w:val="clear"/>
            <w:vAlign w:val="center"/>
          </w:tcPr>
          <w:p w14:paraId="369465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20.2%</w:t>
            </w:r>
          </w:p>
        </w:tc>
        <w:tc>
          <w:tcPr>
            <w:tcW w:w="0" w:type="auto"/>
            <w:shd w:val="clear"/>
            <w:vAlign w:val="center"/>
          </w:tcPr>
          <w:p w14:paraId="5A99A8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+1150（余电上网）</w:t>
            </w:r>
          </w:p>
        </w:tc>
        <w:tc>
          <w:tcPr>
            <w:tcW w:w="0" w:type="auto"/>
            <w:shd w:val="clear"/>
            <w:vAlign w:val="center"/>
          </w:tcPr>
          <w:p w14:paraId="50E3B2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 w14:paraId="11B29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273A5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...</w:t>
            </w:r>
          </w:p>
        </w:tc>
        <w:tc>
          <w:tcPr>
            <w:tcW w:w="0" w:type="auto"/>
            <w:shd w:val="clear"/>
            <w:vAlign w:val="center"/>
          </w:tcPr>
          <w:p w14:paraId="4CE70E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...</w:t>
            </w:r>
          </w:p>
        </w:tc>
        <w:tc>
          <w:tcPr>
            <w:tcW w:w="0" w:type="auto"/>
            <w:shd w:val="clear"/>
            <w:vAlign w:val="center"/>
          </w:tcPr>
          <w:p w14:paraId="4A9C40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...</w:t>
            </w:r>
          </w:p>
        </w:tc>
        <w:tc>
          <w:tcPr>
            <w:tcW w:w="0" w:type="auto"/>
            <w:shd w:val="clear"/>
            <w:vAlign w:val="center"/>
          </w:tcPr>
          <w:p w14:paraId="41B25A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...</w:t>
            </w:r>
          </w:p>
        </w:tc>
      </w:tr>
      <w:tr w14:paraId="33E17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A08B6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Style w:val="6"/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月平均</w:t>
            </w:r>
          </w:p>
        </w:tc>
        <w:tc>
          <w:tcPr>
            <w:tcW w:w="0" w:type="auto"/>
            <w:shd w:val="clear"/>
            <w:vAlign w:val="center"/>
          </w:tcPr>
          <w:p w14:paraId="3F65EA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Style w:val="6"/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20.0%</w:t>
            </w:r>
          </w:p>
        </w:tc>
        <w:tc>
          <w:tcPr>
            <w:tcW w:w="0" w:type="auto"/>
            <w:shd w:val="clear"/>
            <w:vAlign w:val="center"/>
          </w:tcPr>
          <w:p w14:paraId="4E5A69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Style w:val="6"/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+1180</w:t>
            </w:r>
          </w:p>
        </w:tc>
        <w:tc>
          <w:tcPr>
            <w:tcW w:w="0" w:type="auto"/>
            <w:shd w:val="clear"/>
            <w:vAlign w:val="center"/>
          </w:tcPr>
          <w:p w14:paraId="5CDFD3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Style w:val="6"/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达标</w:t>
            </w:r>
          </w:p>
        </w:tc>
      </w:tr>
    </w:tbl>
    <w:p w14:paraId="667A33A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二、记录说明</w:t>
      </w:r>
    </w:p>
    <w:p w14:paraId="79602E1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本记录为项目试运行期间的电力交互系统实际运行数据，可调负荷比例稳定在 20% 左右，验证了设计的有效性</w:t>
      </w:r>
    </w:p>
    <w:p w14:paraId="7FB649D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作为绿建评价、工程验收的直接佐证材料，证明负荷调节比例满足要求</w:t>
      </w:r>
    </w:p>
    <w:p w14:paraId="3EA491AB">
      <w:pPr>
        <w:keepNext w:val="0"/>
        <w:keepLines w:val="0"/>
        <w:widowControl/>
        <w:suppressLineNumbers w:val="0"/>
        <w:pBdr>
          <w:top w:val="single" w:color="000000" w:sz="4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pict>
          <v:rect id="_x0000_i1025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AFCFEFA">
      <w:r>
        <w:rPr>
          <w:color w:val="000000"/>
          <w:sz w:val="19"/>
          <w:szCs w:val="19"/>
          <w:bdr w:val="none" w:color="auto" w:sz="0" w:space="0"/>
        </w:rPr>
        <w:t>📄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3E56ED"/>
    <w:multiLevelType w:val="multilevel"/>
    <w:tmpl w:val="413E56E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EE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2026-03-30T11:01:07Z</dcterms:created>
  <dc:creator>169</dc:creator>
  <cp:lastModifiedBy>小新一枚</cp:lastModifiedBy>
  <dcterms:modified xsi:type="dcterms:W3CDTF">2026-03-30T11:01:45Z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eyJoZGlkIjoiNmQzY2JlZmU3NTgxNjUzNGRiMmMzNTI0MmY5YmYyZWUiLCJ1c2VySWQiOiIxNzc3MDMzMTYwIn0=</vt:lpwstr>
  </property>
  <property fmtid="{D5CDD505-2E9C-101B-9397-08002B2CF9AE}" pid="4" name="ICV">
    <vt:lpwstr>9FF5470999B74BA6AC4D9A72BD7DF498_12</vt:lpwstr>
  </property>
</Properties>
</file>