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C4F79">
      <w:r>
        <w:rPr>
          <w:rFonts w:hint="eastAsia"/>
        </w:rPr>
        <w:t>本项目为设计阶段，暂无实体检测报告；设计文件明确各主要建筑构件隔声性能满足 GB 50118 规范要求，竣工后将按规范开展现场检测。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5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2026-03-28T16:59:41Z</dcterms:created>
  <dc:creator>HW</dc:creator>
  <cp:lastModifiedBy>余味</cp:lastModifiedBy>
  <dcterms:modified xsi:type="dcterms:W3CDTF">2026-03-28T16:59:48Z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24C5C0A7D9F14436857D9223417B4F2F_12</vt:lpwstr>
  </property>
</Properties>
</file>