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23001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3F0F1A3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BD9C4A2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7345D970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6467AF92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0E88C376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006842A5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7170A93F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4B649DE0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83DF64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4A81180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368C8D9E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3C69D1CA">
      <w:pPr>
        <w:pStyle w:val="4"/>
        <w:ind w:left="338"/>
        <w:rPr>
          <w:rFonts w:hint="eastAsia"/>
          <w:u w:val="non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rFonts w:hint="eastAsia"/>
          <w:u w:val="none"/>
          <w:lang w:eastAsia="zh-CN"/>
        </w:rPr>
        <w:t>C-Life——工业遗存的光风智构与康养再生</w:t>
      </w:r>
    </w:p>
    <w:p w14:paraId="053DCCDB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521C474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4A4A37B0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68EBA8A3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39BD27B0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0660A45F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626908E6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0202469F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7766B54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79DD0AF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00F5653F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59C95A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A9EAF8E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F99FA3A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6FD89DB1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338A3CBA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56B116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3711A3E0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4C18B80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6AD899C7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28DC9E86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41BA269F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84B7819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0108033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58DF4E34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30F8ADC4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47370BE4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/>
          <w:spacing w:val="4"/>
          <w:u w:val="none"/>
          <w:lang w:eastAsia="zh-CN"/>
        </w:rPr>
        <w:t>四川省攀枝花市东区马鹿箐东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rFonts w:hint="eastAsia"/>
          <w:lang w:eastAsia="zh-CN"/>
        </w:rPr>
        <w:t>27481.02</w:t>
      </w:r>
      <w:r>
        <w:rPr>
          <w:spacing w:val="4"/>
          <w:lang w:eastAsia="zh-CN"/>
        </w:rPr>
        <w:t>平方米，建筑面积为</w:t>
      </w:r>
      <w:r>
        <w:rPr>
          <w:rFonts w:hint="eastAsia"/>
          <w:spacing w:val="4"/>
          <w:lang w:eastAsia="zh-CN"/>
        </w:rPr>
        <w:t>25471.6</w:t>
      </w:r>
      <w:r>
        <w:rPr>
          <w:spacing w:val="-1"/>
          <w:lang w:eastAsia="zh-CN"/>
        </w:rPr>
        <w:t>平方米</w:t>
      </w:r>
      <w:r>
        <w:rPr>
          <w:lang w:eastAsia="zh-CN"/>
        </w:rPr>
        <w:t>，总人数</w:t>
      </w:r>
      <w:r>
        <w:rPr>
          <w:rFonts w:hint="eastAsia"/>
          <w:lang w:val="en-US" w:eastAsia="zh-CN"/>
        </w:rPr>
        <w:t>400人</w:t>
      </w:r>
      <w:r>
        <w:rPr>
          <w:lang w:eastAsia="zh-CN"/>
        </w:rPr>
        <w:t>。地上</w:t>
      </w:r>
      <w:r>
        <w:rPr>
          <w:rFonts w:hint="eastAsia"/>
          <w:lang w:val="en-US" w:eastAsia="zh-CN"/>
        </w:rPr>
        <w:t>4</w:t>
      </w:r>
      <w:r>
        <w:rPr>
          <w:spacing w:val="-1"/>
          <w:lang w:eastAsia="zh-CN"/>
        </w:rPr>
        <w:t>层，地上面积</w:t>
      </w:r>
      <w:r>
        <w:rPr>
          <w:rFonts w:hint="eastAsia"/>
          <w:spacing w:val="-1"/>
          <w:lang w:eastAsia="zh-CN"/>
        </w:rPr>
        <w:t>11304.5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hint="eastAsia" w:cs="宋体"/>
          <w:spacing w:val="-1"/>
          <w:lang w:val="en-US" w:eastAsia="zh-CN"/>
        </w:rPr>
        <w:t>0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 w14:paraId="7175463A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482A49A4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45142D29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705F13DC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63D51F18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2CE8B27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b w:val="0"/>
          <w:bCs w:val="0"/>
          <w:u w:val="non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hint="eastAsia" w:cs="宋体"/>
          <w:b w:val="0"/>
          <w:bCs w:val="0"/>
          <w:u w:val="none"/>
          <w:lang w:val="en-US" w:eastAsia="zh-CN"/>
        </w:rPr>
        <w:t>32</w:t>
      </w:r>
      <w:r>
        <w:rPr>
          <w:rFonts w:hint="eastAsia" w:cs="宋体"/>
          <w:b w:val="0"/>
          <w:bCs w:val="0"/>
          <w:u w:val="none"/>
          <w:lang w:eastAsia="zh-CN"/>
        </w:rPr>
        <w:t>米</w:t>
      </w:r>
    </w:p>
    <w:p w14:paraId="6F4662FA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 w:val="0"/>
          <w:bCs w:val="0"/>
          <w:u w:val="non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hint="eastAsia" w:cs="宋体"/>
          <w:b w:val="0"/>
          <w:bCs w:val="0"/>
          <w:u w:val="none"/>
          <w:lang w:val="en-US" w:eastAsia="zh-CN"/>
        </w:rPr>
        <w:t>206</w:t>
      </w:r>
      <w:r>
        <w:rPr>
          <w:rFonts w:hint="eastAsia" w:cs="宋体"/>
          <w:b w:val="0"/>
          <w:bCs w:val="0"/>
          <w:u w:val="none"/>
          <w:lang w:eastAsia="zh-CN"/>
        </w:rPr>
        <w:t>米</w:t>
      </w:r>
    </w:p>
    <w:p w14:paraId="26122186">
      <w:pPr>
        <w:pStyle w:val="5"/>
        <w:tabs>
          <w:tab w:val="left" w:pos="1305"/>
          <w:tab w:val="left" w:pos="3703"/>
        </w:tabs>
        <w:spacing w:line="277" w:lineRule="auto"/>
        <w:ind w:right="327" w:firstLine="1205" w:firstLineChars="500"/>
        <w:rPr>
          <w:rFonts w:hint="default" w:cs="宋体"/>
          <w:b/>
          <w:bCs/>
          <w:u w:val="none"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站台3</w:t>
      </w:r>
      <w:r>
        <w:rPr>
          <w:rFonts w:hint="eastAsia" w:cs="宋体"/>
          <w:b/>
          <w:bCs/>
          <w:u w:val="none"/>
          <w:lang w:val="en-US" w:eastAsia="zh-CN"/>
        </w:rPr>
        <w:t>：</w:t>
      </w:r>
      <w:r>
        <w:rPr>
          <w:rFonts w:hint="eastAsia" w:cs="宋体"/>
          <w:b w:val="0"/>
          <w:bCs w:val="0"/>
          <w:u w:val="none"/>
          <w:lang w:val="en-US" w:eastAsia="zh-CN"/>
        </w:rPr>
        <w:t>242米</w:t>
      </w:r>
    </w:p>
    <w:p w14:paraId="1F32D670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393BB880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13644996">
      <w:pPr>
        <w:pStyle w:val="4"/>
        <w:spacing w:before="0"/>
        <w:rPr>
          <w:rFonts w:hint="default"/>
          <w:w w:val="95"/>
          <w:lang w:val="en-US"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rFonts w:hint="eastAsia"/>
          <w:w w:val="95"/>
          <w:lang w:val="en-US" w:eastAsia="zh-CN"/>
        </w:rPr>
        <w:t>108路</w:t>
      </w:r>
    </w:p>
    <w:p w14:paraId="744442AB">
      <w:pPr>
        <w:pStyle w:val="4"/>
        <w:spacing w:before="0"/>
        <w:rPr>
          <w:rFonts w:hint="eastAsia"/>
          <w:b w:val="0"/>
          <w:bCs w:val="0"/>
          <w:w w:val="95"/>
          <w:lang w:eastAsia="zh-CN"/>
        </w:rPr>
      </w:pPr>
      <w:r>
        <w:rPr>
          <w:b w:val="0"/>
          <w:bCs w:val="0"/>
          <w:w w:val="95"/>
          <w:lang w:eastAsia="zh-CN"/>
        </w:rPr>
        <w:t xml:space="preserve"> </w:t>
      </w:r>
      <w:r>
        <w:rPr>
          <w:rFonts w:hint="eastAsia"/>
          <w:b w:val="0"/>
          <w:bCs w:val="0"/>
          <w:w w:val="95"/>
          <w:lang w:eastAsia="zh-CN"/>
        </w:rPr>
        <w:t>下行（创力巷→马鹿箐）站点：</w:t>
      </w:r>
    </w:p>
    <w:p w14:paraId="41F4EF01">
      <w:pPr>
        <w:pStyle w:val="4"/>
        <w:spacing w:before="0"/>
        <w:rPr>
          <w:rFonts w:hint="eastAsia"/>
          <w:b w:val="0"/>
          <w:bCs w:val="0"/>
          <w:w w:val="95"/>
          <w:lang w:eastAsia="zh-CN"/>
        </w:rPr>
      </w:pPr>
      <w:r>
        <w:rPr>
          <w:rFonts w:hint="eastAsia"/>
          <w:b w:val="0"/>
          <w:bCs w:val="0"/>
          <w:w w:val="95"/>
          <w:lang w:eastAsia="zh-CN"/>
        </w:rPr>
        <w:t>创力巷——东风——螺丝嘴——计量站——冶材公司——钒氮合金厂——炉料厂——钒制品厂——马鹿箐</w:t>
      </w:r>
    </w:p>
    <w:p w14:paraId="7B05DA23">
      <w:pPr>
        <w:pStyle w:val="4"/>
        <w:spacing w:before="0"/>
        <w:rPr>
          <w:rFonts w:hint="eastAsia"/>
          <w:b w:val="0"/>
          <w:bCs w:val="0"/>
          <w:w w:val="95"/>
          <w:lang w:eastAsia="zh-CN"/>
        </w:rPr>
      </w:pPr>
      <w:r>
        <w:rPr>
          <w:rFonts w:hint="eastAsia"/>
          <w:b w:val="0"/>
          <w:bCs w:val="0"/>
          <w:w w:val="95"/>
          <w:lang w:eastAsia="zh-CN"/>
        </w:rPr>
        <w:t>上行（马鹿箐→创力巷）站点：</w:t>
      </w:r>
    </w:p>
    <w:p w14:paraId="61600713">
      <w:pPr>
        <w:pStyle w:val="4"/>
        <w:spacing w:before="0"/>
        <w:rPr>
          <w:rFonts w:hint="eastAsia"/>
          <w:b w:val="0"/>
          <w:bCs w:val="0"/>
          <w:w w:val="95"/>
          <w:lang w:eastAsia="zh-CN"/>
        </w:rPr>
      </w:pPr>
      <w:r>
        <w:rPr>
          <w:rFonts w:hint="eastAsia"/>
          <w:b w:val="0"/>
          <w:bCs w:val="0"/>
          <w:w w:val="95"/>
          <w:lang w:eastAsia="zh-CN"/>
        </w:rPr>
        <w:t>马鹿箐——钒制品厂——炉料厂——钒氮合金厂——冶材公司——计量站——螺丝嘴——东风——创力巷</w:t>
      </w:r>
    </w:p>
    <w:p w14:paraId="47D2EE86">
      <w:pPr>
        <w:pStyle w:val="4"/>
        <w:spacing w:before="0"/>
        <w:ind w:firstLine="602"/>
        <w:rPr>
          <w:rFonts w:hint="eastAsia"/>
          <w:w w:val="95"/>
          <w:lang w:val="en-US"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val="en-US" w:eastAsia="zh-CN"/>
        </w:rPr>
        <w:t>3路</w:t>
      </w:r>
    </w:p>
    <w:p w14:paraId="1CBF3EFD">
      <w:pPr>
        <w:pStyle w:val="4"/>
        <w:spacing w:before="0"/>
        <w:rPr>
          <w:rFonts w:hint="default"/>
          <w:b w:val="0"/>
          <w:bCs w:val="0"/>
          <w:w w:val="95"/>
          <w:lang w:val="en-US" w:eastAsia="zh-CN"/>
        </w:rPr>
      </w:pPr>
      <w:r>
        <w:rPr>
          <w:rFonts w:hint="default"/>
          <w:b w:val="0"/>
          <w:bCs w:val="0"/>
          <w:w w:val="95"/>
          <w:lang w:val="en-US" w:eastAsia="zh-CN"/>
        </w:rPr>
        <w:t>一、上行（渡口大桥北 → 小攀枝花）站点</w:t>
      </w:r>
      <w:r>
        <w:rPr>
          <w:rFonts w:hint="eastAsia"/>
          <w:b w:val="0"/>
          <w:bCs w:val="0"/>
          <w:w w:val="95"/>
          <w:lang w:val="en-US" w:eastAsia="zh-CN"/>
        </w:rPr>
        <w:t>：</w:t>
      </w:r>
    </w:p>
    <w:p w14:paraId="67CD97F9">
      <w:pPr>
        <w:pStyle w:val="4"/>
        <w:spacing w:before="0"/>
        <w:rPr>
          <w:rFonts w:hint="default"/>
          <w:b w:val="0"/>
          <w:bCs w:val="0"/>
          <w:w w:val="95"/>
          <w:lang w:val="en-US" w:eastAsia="zh-CN"/>
        </w:rPr>
      </w:pPr>
      <w:r>
        <w:rPr>
          <w:rFonts w:hint="default"/>
          <w:b w:val="0"/>
          <w:bCs w:val="0"/>
          <w:w w:val="95"/>
          <w:lang w:val="en-US" w:eastAsia="zh-CN"/>
        </w:rPr>
        <w:t>渡口大桥北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攀钢 84 栋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攀钢总医院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硫磺口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马坎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密地村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佳运巷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密地村小学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密地二社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钢城大道中段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水厂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变电站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密地大桥北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红花田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宝善巷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游泳池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瓜子坪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雅竹苑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兴隆花园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攀北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小攀枝花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小攀枝花场站</w:t>
      </w:r>
    </w:p>
    <w:p w14:paraId="681AD951">
      <w:pPr>
        <w:pStyle w:val="4"/>
        <w:spacing w:before="0"/>
        <w:rPr>
          <w:rFonts w:hint="default"/>
          <w:b w:val="0"/>
          <w:bCs w:val="0"/>
          <w:w w:val="95"/>
          <w:lang w:val="en-US" w:eastAsia="zh-CN"/>
        </w:rPr>
      </w:pPr>
      <w:r>
        <w:rPr>
          <w:rFonts w:hint="default"/>
          <w:b w:val="0"/>
          <w:bCs w:val="0"/>
          <w:w w:val="95"/>
          <w:lang w:val="en-US" w:eastAsia="zh-CN"/>
        </w:rPr>
        <w:t>二、下行（小攀枝花 → 渡口大桥北）站点</w:t>
      </w:r>
      <w:r>
        <w:rPr>
          <w:rFonts w:hint="eastAsia"/>
          <w:b w:val="0"/>
          <w:bCs w:val="0"/>
          <w:w w:val="95"/>
          <w:lang w:val="en-US" w:eastAsia="zh-CN"/>
        </w:rPr>
        <w:t>：</w:t>
      </w:r>
    </w:p>
    <w:p w14:paraId="4D61B012">
      <w:pPr>
        <w:pStyle w:val="4"/>
        <w:spacing w:before="0"/>
        <w:rPr>
          <w:rFonts w:hint="default"/>
          <w:b w:val="0"/>
          <w:bCs w:val="0"/>
          <w:w w:val="95"/>
          <w:lang w:val="en-US" w:eastAsia="zh-CN"/>
        </w:rPr>
      </w:pPr>
      <w:r>
        <w:rPr>
          <w:rFonts w:hint="default"/>
          <w:b w:val="0"/>
          <w:bCs w:val="0"/>
          <w:w w:val="95"/>
          <w:lang w:val="en-US" w:eastAsia="zh-CN"/>
        </w:rPr>
        <w:t>小攀枝花场站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小攀枝花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攀北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兴隆花园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雅竹苑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瓜子坪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游泳池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宝善巷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红花田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密地大桥北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变电站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水厂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钢城大道中段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密地二社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密地村小学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佳运巷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密地村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马坎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硫磺口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攀钢总医院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攀钢 84 栋</w:t>
      </w:r>
      <w:r>
        <w:rPr>
          <w:rFonts w:hint="eastAsia"/>
          <w:b w:val="0"/>
          <w:bCs w:val="0"/>
          <w:w w:val="95"/>
          <w:lang w:val="en-US" w:eastAsia="zh-CN"/>
        </w:rPr>
        <w:t>——</w:t>
      </w:r>
      <w:r>
        <w:rPr>
          <w:rFonts w:hint="default"/>
          <w:b w:val="0"/>
          <w:bCs w:val="0"/>
          <w:w w:val="95"/>
          <w:lang w:val="en-US" w:eastAsia="zh-CN"/>
        </w:rPr>
        <w:t>渡口大桥北</w:t>
      </w:r>
    </w:p>
    <w:p w14:paraId="3807D0B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6C95F8DA">
      <w:pPr>
        <w:pStyle w:val="4"/>
        <w:spacing w:before="0"/>
        <w:rPr>
          <w:rFonts w:hint="eastAsia"/>
          <w:b w:val="0"/>
          <w:bCs w:val="0"/>
          <w:u w:val="single"/>
          <w:lang w:eastAsia="zh-CN"/>
        </w:rPr>
      </w:pPr>
      <w:r>
        <w:drawing>
          <wp:inline distT="0" distB="0" distL="114300" distR="114300">
            <wp:extent cx="5504180" cy="3929380"/>
            <wp:effectExtent l="0" t="0" r="127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BBCB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333CC032">
      <w:pPr>
        <w:pStyle w:val="4"/>
        <w:spacing w:before="0"/>
        <w:rPr>
          <w:rFonts w:cs="宋体"/>
          <w:lang w:eastAsia="zh-CN"/>
        </w:rPr>
      </w:pPr>
      <w:r>
        <w:rPr>
          <w:rFonts w:hint="eastAsia" w:cs="宋体"/>
          <w:lang w:val="en-US" w:eastAsia="zh-CN"/>
        </w:rPr>
        <w:t>场地内</w:t>
      </w: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3ED40246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5427345" cy="5050790"/>
            <wp:effectExtent l="0" t="0" r="1905" b="6985"/>
            <wp:docPr id="6" name="图片 6" descr="总平公共服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总平公共服务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703D">
      <w:pP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 w:bidi="ar-SA"/>
        </w:rPr>
      </w:pPr>
    </w:p>
    <w:p w14:paraId="53765911">
      <w:pPr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 w:bidi="ar-SA"/>
        </w:rPr>
        <w:t>场地周边公共停车场示意：</w:t>
      </w:r>
    </w:p>
    <w:p w14:paraId="40FD1257">
      <w:pPr>
        <w:jc w:val="center"/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4277995" cy="3214370"/>
            <wp:effectExtent l="0" t="0" r="8255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3BE6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6327BA0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1A7B6786">
      <w:pPr>
        <w:spacing w:before="9"/>
        <w:rPr>
          <w:rFonts w:hint="eastAsia" w:ascii="Calibri" w:hAnsi="Calibri" w:cs="Calibri"/>
          <w:b/>
          <w:bCs/>
          <w:sz w:val="25"/>
          <w:szCs w:val="25"/>
          <w:lang w:val="en-US" w:eastAsia="zh-CN"/>
        </w:rPr>
      </w:pPr>
      <w:r>
        <w:rPr>
          <w:rFonts w:hint="eastAsia" w:ascii="Calibri" w:hAnsi="Calibri" w:cs="Calibri"/>
          <w:b/>
          <w:bCs/>
          <w:sz w:val="25"/>
          <w:szCs w:val="25"/>
          <w:lang w:val="en-US" w:eastAsia="zh-CN"/>
        </w:rPr>
        <w:t>城市开敞空间：</w:t>
      </w:r>
    </w:p>
    <w:p w14:paraId="0F2FEAFB">
      <w:pPr>
        <w:rPr>
          <w:rFonts w:hint="default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  <w:t>中型</w:t>
      </w:r>
      <w:r>
        <w:rPr>
          <w:rFonts w:hint="default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  <w:t>多功能运动场地</w:t>
      </w:r>
      <w: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  <w:t>：431米（游泳池）；69米（活动中心）</w:t>
      </w:r>
    </w:p>
    <w:p w14:paraId="53811A6B">
      <w:r>
        <w:drawing>
          <wp:inline distT="0" distB="0" distL="114300" distR="114300">
            <wp:extent cx="4839970" cy="2712085"/>
            <wp:effectExtent l="0" t="0" r="825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A815"/>
    <w:p w14:paraId="3E62581D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4793615" cy="3848100"/>
            <wp:effectExtent l="0" t="0" r="698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E674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488537A8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70B91EF0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60F57E99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7B8484FF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392FA4C1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2AB9B0C0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6F9EFD1D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3B5B3855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6429425F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6E39286A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6572AA30">
      <w:pP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</w:p>
    <w:p w14:paraId="18ED26CF">
      <w:pPr>
        <w:rPr>
          <w:rFonts w:hint="default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theme="minorBidi"/>
          <w:b w:val="0"/>
          <w:bCs w:val="0"/>
          <w:w w:val="95"/>
          <w:sz w:val="24"/>
          <w:szCs w:val="24"/>
          <w:lang w:val="en-US" w:eastAsia="zh-CN" w:bidi="ar-SA"/>
        </w:rPr>
        <w:t>公园绿地示意图：凤凰花公园（899米）</w:t>
      </w:r>
    </w:p>
    <w:p w14:paraId="18DA0367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drawing>
          <wp:inline distT="0" distB="0" distL="114300" distR="114300">
            <wp:extent cx="4599940" cy="2925445"/>
            <wp:effectExtent l="0" t="0" r="0" b="0"/>
            <wp:docPr id="11" name="图片 11" descr="绿地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绿地示意图"/>
                    <pic:cNvPicPr>
                      <a:picLocks noChangeAspect="1"/>
                    </pic:cNvPicPr>
                  </pic:nvPicPr>
                  <pic:blipFill>
                    <a:blip r:embed="rId9"/>
                    <a:srcRect l="7640" t="21021" r="7605" b="21059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320D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3432B727">
      <w:pPr>
        <w:pStyle w:val="4"/>
        <w:ind w:left="0" w:leftChars="0" w:firstLine="0" w:firstLineChars="0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5F7FFC50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公共建筑</w:t>
      </w:r>
      <w:r>
        <w:rPr>
          <w:lang w:eastAsia="zh-CN"/>
        </w:rPr>
        <w:t>，</w:t>
      </w:r>
    </w:p>
    <w:p w14:paraId="458B873F">
      <w:pPr>
        <w:pStyle w:val="4"/>
        <w:ind w:left="338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eastAsia="zh-CN"/>
        </w:rPr>
        <w:t>满足</w:t>
      </w:r>
      <w:r>
        <w:rPr>
          <w:rFonts w:hint="eastAsia"/>
          <w:b w:val="0"/>
          <w:bCs w:val="0"/>
          <w:lang w:eastAsia="zh-CN"/>
        </w:rPr>
        <w:t>6.1.2</w:t>
      </w:r>
      <w:r>
        <w:rPr>
          <w:rFonts w:hint="eastAsia"/>
          <w:b w:val="0"/>
          <w:bCs w:val="0"/>
          <w:lang w:val="en-US" w:eastAsia="zh-CN"/>
        </w:rPr>
        <w:t xml:space="preserve"> </w:t>
      </w:r>
      <w:r>
        <w:rPr>
          <w:rFonts w:hint="eastAsia"/>
          <w:b w:val="0"/>
          <w:bCs w:val="0"/>
          <w:lang w:eastAsia="zh-CN"/>
        </w:rPr>
        <w:t>场地人行出入口500m内应设有公共交通站点或配备联系公共交通站点的专用接驳车</w:t>
      </w:r>
      <w:r>
        <w:rPr>
          <w:rFonts w:hint="eastAsia"/>
          <w:b w:val="0"/>
          <w:bCs w:val="0"/>
          <w:lang w:val="en-US" w:eastAsia="zh-CN"/>
        </w:rPr>
        <w:t>要求。</w:t>
      </w:r>
    </w:p>
    <w:p w14:paraId="40EFDC72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b/>
          <w:bCs/>
          <w:lang w:val="en-US" w:eastAsia="zh-CN"/>
        </w:rPr>
        <w:t>满足</w:t>
      </w:r>
      <w:r>
        <w:rPr>
          <w:rFonts w:hint="eastAsia"/>
          <w:b w:val="0"/>
          <w:bCs w:val="0"/>
          <w:lang w:eastAsia="zh-CN"/>
        </w:rPr>
        <w:t>6.2.1</w:t>
      </w:r>
      <w:r>
        <w:rPr>
          <w:rFonts w:hint="eastAsia"/>
          <w:b w:val="0"/>
          <w:bCs w:val="0"/>
          <w:lang w:val="en-US" w:eastAsia="zh-CN"/>
        </w:rPr>
        <w:t xml:space="preserve"> 第1条</w:t>
      </w:r>
      <w:r>
        <w:rPr>
          <w:rFonts w:hint="eastAsia"/>
          <w:b w:val="0"/>
          <w:bCs w:val="0"/>
          <w:lang w:eastAsia="zh-CN"/>
        </w:rPr>
        <w:t xml:space="preserve"> 场地出入口到达公共交通站点的步行距离不超过300m，或到达轨道交通站的步行距离不大于500m，</w:t>
      </w:r>
      <w:r>
        <w:rPr>
          <w:rFonts w:hint="eastAsia"/>
          <w:b/>
          <w:bCs/>
          <w:lang w:eastAsia="zh-CN"/>
        </w:rPr>
        <w:t>得4分</w:t>
      </w:r>
      <w:r>
        <w:rPr>
          <w:rFonts w:hint="eastAsia"/>
          <w:lang w:eastAsia="zh-CN"/>
        </w:rPr>
        <w:t>；</w:t>
      </w:r>
    </w:p>
    <w:p w14:paraId="7AD44112">
      <w:pPr>
        <w:pStyle w:val="4"/>
        <w:ind w:left="338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val="en-US" w:eastAsia="zh-CN"/>
        </w:rPr>
        <w:t>满足6.2.1 第2条</w:t>
      </w:r>
      <w:r>
        <w:rPr>
          <w:rFonts w:hint="eastAsia"/>
          <w:b w:val="0"/>
          <w:bCs w:val="0"/>
          <w:lang w:eastAsia="zh-CN"/>
        </w:rPr>
        <w:t xml:space="preserve"> 场地出入口步行距离800m范围内设有不少于2条线路的公共交通站点，</w:t>
      </w:r>
      <w:r>
        <w:rPr>
          <w:rFonts w:hint="eastAsia"/>
          <w:b/>
          <w:bCs/>
          <w:lang w:eastAsia="zh-CN"/>
        </w:rPr>
        <w:t>得4分</w:t>
      </w:r>
      <w:r>
        <w:rPr>
          <w:rFonts w:hint="eastAsia"/>
          <w:b w:val="0"/>
          <w:bCs w:val="0"/>
          <w:lang w:eastAsia="zh-CN"/>
        </w:rPr>
        <w:t>。</w:t>
      </w:r>
    </w:p>
    <w:p w14:paraId="49A1FE95">
      <w:pPr>
        <w:pStyle w:val="4"/>
        <w:ind w:left="338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满足</w:t>
      </w:r>
      <w:r>
        <w:rPr>
          <w:rFonts w:hint="eastAsia"/>
          <w:b w:val="0"/>
          <w:bCs w:val="0"/>
          <w:lang w:eastAsia="zh-CN"/>
        </w:rPr>
        <w:t xml:space="preserve">6.2.3 </w:t>
      </w:r>
      <w:r>
        <w:rPr>
          <w:rFonts w:hint="eastAsia"/>
          <w:b w:val="0"/>
          <w:bCs w:val="0"/>
          <w:lang w:val="en-US" w:eastAsia="zh-CN"/>
        </w:rPr>
        <w:t>第2条</w:t>
      </w:r>
    </w:p>
    <w:p w14:paraId="50CC12CD">
      <w:pPr>
        <w:pStyle w:val="4"/>
        <w:ind w:firstLine="240" w:firstLineChars="100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1)建筑内至少兼容2种面向社会的公共服务功能；</w:t>
      </w:r>
    </w:p>
    <w:p w14:paraId="181DCD18">
      <w:pPr>
        <w:pStyle w:val="4"/>
        <w:ind w:left="338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2)建筑向社会公众提供开放的公共活动空间；</w:t>
      </w:r>
    </w:p>
    <w:p w14:paraId="288D4AE6">
      <w:pPr>
        <w:pStyle w:val="4"/>
        <w:ind w:left="338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3)电动汽车充电桩的车位数占总车位数的比例不低于10%;</w:t>
      </w:r>
    </w:p>
    <w:p w14:paraId="7AAAFB33">
      <w:pPr>
        <w:pStyle w:val="4"/>
        <w:ind w:left="338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4)周边500m 范围内设有社会公共停车场（库）；</w:t>
      </w:r>
    </w:p>
    <w:p w14:paraId="0FA6E2B9">
      <w:pPr>
        <w:pStyle w:val="4"/>
        <w:ind w:left="338"/>
        <w:rPr>
          <w:rFonts w:hint="eastAsia"/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5)场地不封闭或场地内步行公共通道向社会开放。</w:t>
      </w:r>
    </w:p>
    <w:p w14:paraId="2F09A1F1">
      <w:pPr>
        <w:pStyle w:val="4"/>
        <w:ind w:left="338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得5分。</w:t>
      </w:r>
    </w:p>
    <w:p w14:paraId="0AA9CA43">
      <w:pPr>
        <w:pStyle w:val="4"/>
        <w:ind w:left="338"/>
        <w:rPr>
          <w:rFonts w:hint="eastAsia"/>
          <w:b w:val="0"/>
          <w:bCs w:val="0"/>
          <w:lang w:eastAsia="zh-CN"/>
        </w:rPr>
      </w:pPr>
      <w:r>
        <w:rPr>
          <w:rFonts w:hint="eastAsia"/>
          <w:b/>
          <w:bCs/>
          <w:lang w:val="en-US" w:eastAsia="zh-CN"/>
        </w:rPr>
        <w:t>不满足</w:t>
      </w:r>
      <w:r>
        <w:rPr>
          <w:rFonts w:hint="eastAsia"/>
          <w:b w:val="0"/>
          <w:bCs w:val="0"/>
          <w:lang w:eastAsia="zh-CN"/>
        </w:rPr>
        <w:t>6.2.4</w:t>
      </w:r>
      <w:r>
        <w:rPr>
          <w:rFonts w:hint="eastAsia"/>
          <w:b w:val="0"/>
          <w:bCs w:val="0"/>
          <w:lang w:val="en-US" w:eastAsia="zh-CN"/>
        </w:rPr>
        <w:t xml:space="preserve"> 第1条</w:t>
      </w:r>
      <w:r>
        <w:rPr>
          <w:rFonts w:hint="eastAsia"/>
          <w:b w:val="0"/>
          <w:bCs w:val="0"/>
          <w:lang w:eastAsia="zh-CN"/>
        </w:rPr>
        <w:t xml:space="preserve"> 场地出入口到达居住区公园或城市公园绿地、广场的步行距离不大于300m，得</w:t>
      </w:r>
      <w:r>
        <w:rPr>
          <w:rFonts w:hint="eastAsia"/>
          <w:b w:val="0"/>
          <w:bCs w:val="0"/>
          <w:lang w:val="en-US" w:eastAsia="zh-CN"/>
        </w:rPr>
        <w:t>0</w:t>
      </w:r>
      <w:r>
        <w:rPr>
          <w:rFonts w:hint="eastAsia"/>
          <w:b w:val="0"/>
          <w:bCs w:val="0"/>
          <w:lang w:eastAsia="zh-CN"/>
        </w:rPr>
        <w:t>分；</w:t>
      </w:r>
    </w:p>
    <w:p w14:paraId="06BB08B9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b/>
          <w:bCs/>
          <w:lang w:val="en-US" w:eastAsia="zh-CN"/>
        </w:rPr>
        <w:t>满足</w:t>
      </w:r>
      <w:r>
        <w:rPr>
          <w:rFonts w:hint="eastAsia"/>
          <w:b w:val="0"/>
          <w:bCs w:val="0"/>
          <w:lang w:eastAsia="zh-CN"/>
        </w:rPr>
        <w:t>6.2.4</w:t>
      </w:r>
      <w:r>
        <w:rPr>
          <w:rFonts w:hint="eastAsia"/>
          <w:b w:val="0"/>
          <w:bCs w:val="0"/>
          <w:lang w:val="en-US" w:eastAsia="zh-CN"/>
        </w:rPr>
        <w:t xml:space="preserve"> 第2条</w:t>
      </w:r>
      <w:r>
        <w:rPr>
          <w:rFonts w:hint="eastAsia"/>
          <w:b w:val="0"/>
          <w:bCs w:val="0"/>
          <w:lang w:eastAsia="zh-CN"/>
        </w:rPr>
        <w:t xml:space="preserve">  到达中型多功能运动场地的步行距离不大于500m，</w:t>
      </w:r>
      <w:r>
        <w:rPr>
          <w:rFonts w:hint="eastAsia"/>
          <w:b/>
          <w:bCs/>
          <w:lang w:eastAsia="zh-CN"/>
        </w:rPr>
        <w:t>得2分</w:t>
      </w:r>
      <w:r>
        <w:rPr>
          <w:rFonts w:hint="eastAsia"/>
          <w:lang w:eastAsia="zh-CN"/>
        </w:rPr>
        <w:t>。</w:t>
      </w:r>
      <w:bookmarkStart w:id="0" w:name="_GoBack"/>
      <w:bookmarkEnd w:id="0"/>
    </w:p>
    <w:p w14:paraId="4A0A4084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F24110D"/>
    <w:rsid w:val="25090731"/>
    <w:rsid w:val="48D6451F"/>
    <w:rsid w:val="556B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页眉 Char"/>
    <w:basedOn w:val="9"/>
    <w:link w:val="7"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859</Words>
  <Characters>948</Characters>
  <Lines>10</Lines>
  <Paragraphs>2</Paragraphs>
  <TotalTime>6</TotalTime>
  <ScaleCrop>false</ScaleCrop>
  <LinksUpToDate>false</LinksUpToDate>
  <CharactersWithSpaces>1366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向日葵</cp:lastModifiedBy>
  <dcterms:modified xsi:type="dcterms:W3CDTF">2026-03-26T21:34:13Z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eyJoZGlkIjoiM2MwNTQyNTQ4YjYyMWFmMDY0MDg5YmE1NzQ5OGU4YWUiLCJ1c2VySWQiOiI4OTc2MjQ0NzMifQ==</vt:lpwstr>
  </property>
  <property fmtid="{D5CDD505-2E9C-101B-9397-08002B2CF9AE}" pid="5" name="KSOProductBuildVer">
    <vt:lpwstr>2052-12.1.0.25225</vt:lpwstr>
  </property>
  <property fmtid="{D5CDD505-2E9C-101B-9397-08002B2CF9AE}" pid="6" name="ICV">
    <vt:lpwstr>0540F256F25348DE81AF936EEF4FA1FC_12</vt:lpwstr>
  </property>
</Properties>
</file>