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B95B1">
      <w:pPr>
        <w:pStyle w:val="2"/>
        <w:jc w:val="center"/>
      </w:pPr>
    </w:p>
    <w:p w14:paraId="2A48AB76">
      <w:pPr>
        <w:pStyle w:val="2"/>
        <w:jc w:val="center"/>
      </w:pPr>
    </w:p>
    <w:p w14:paraId="3638F535">
      <w:pPr>
        <w:pStyle w:val="2"/>
        <w:jc w:val="center"/>
      </w:pPr>
    </w:p>
    <w:p w14:paraId="1FD5D709">
      <w:pPr>
        <w:pStyle w:val="2"/>
        <w:jc w:val="center"/>
      </w:pPr>
      <w:r>
        <w:rPr>
          <w:rFonts w:hint="eastAsia"/>
        </w:rPr>
        <w:t>绿容率</w:t>
      </w:r>
      <w:r>
        <w:t>计算书</w:t>
      </w:r>
    </w:p>
    <w:p w14:paraId="0A50AFBF">
      <w:pPr>
        <w:rPr>
          <w:kern w:val="44"/>
          <w:sz w:val="44"/>
          <w:szCs w:val="44"/>
        </w:rPr>
      </w:pPr>
      <w:r>
        <w:br w:type="page"/>
      </w:r>
    </w:p>
    <w:p w14:paraId="4C1E4533">
      <w:pPr>
        <w:pStyle w:val="3"/>
        <w:jc w:val="left"/>
      </w:pPr>
    </w:p>
    <w:p w14:paraId="373B9982">
      <w:pPr>
        <w:pStyle w:val="3"/>
        <w:jc w:val="left"/>
        <w:rPr>
          <w:b w:val="0"/>
          <w:u w:val="single"/>
        </w:rPr>
      </w:pPr>
      <w:r>
        <w:rPr>
          <w:rFonts w:hint="eastAsia"/>
        </w:rPr>
        <w:t>项目名称</w:t>
      </w:r>
      <w:r>
        <w:t>：</w:t>
      </w:r>
      <w:r>
        <w:rPr>
          <w:rFonts w:hint="eastAsia"/>
        </w:rPr>
        <w:t>C-Life</w:t>
      </w:r>
      <w:r>
        <w:rPr>
          <w:rFonts w:hint="eastAsia"/>
          <w:lang w:eastAsia="zh-CN"/>
        </w:rPr>
        <w:t>——</w:t>
      </w:r>
      <w:r>
        <w:rPr>
          <w:rFonts w:hint="eastAsia"/>
        </w:rPr>
        <w:t>工业遗存的光风智构与康养再生</w:t>
      </w:r>
      <w:bookmarkStart w:id="0" w:name="_GoBack"/>
      <w:bookmarkEnd w:id="0"/>
    </w:p>
    <w:p w14:paraId="7891F4F1"/>
    <w:p w14:paraId="3FC50880">
      <w:pPr>
        <w:pStyle w:val="3"/>
        <w:jc w:val="left"/>
        <w:rPr>
          <w:b w:val="0"/>
          <w:u w:val="single"/>
        </w:rPr>
      </w:pPr>
      <w:r>
        <w:rPr>
          <w:rFonts w:hint="eastAsia"/>
        </w:rPr>
        <w:t>条文要求</w:t>
      </w:r>
      <w:r>
        <w:t>：</w:t>
      </w:r>
    </w:p>
    <w:p w14:paraId="3DB5B66B">
      <w:r>
        <w:tab/>
      </w:r>
      <w:r>
        <w:rPr>
          <w:rFonts w:hint="eastAsia"/>
        </w:rPr>
        <w:t>9.2.4  场地绿容率不低于3.0，评价总分值为5分，并按下列规则评分：</w:t>
      </w:r>
    </w:p>
    <w:p w14:paraId="6D378E77">
      <w:r>
        <w:rPr>
          <w:rFonts w:hint="eastAsia"/>
        </w:rPr>
        <w:t xml:space="preserve">      1   场地绿容率计算值不低于3.0，得3分。</w:t>
      </w:r>
    </w:p>
    <w:p w14:paraId="70A20D52">
      <w:r>
        <w:rPr>
          <w:rFonts w:hint="eastAsia"/>
        </w:rPr>
        <w:t xml:space="preserve">      2   场地绿容率实测值不低于3.0，得5分。</w:t>
      </w:r>
    </w:p>
    <w:p w14:paraId="07D0BEBC">
      <w:pPr>
        <w:pStyle w:val="3"/>
        <w:jc w:val="left"/>
      </w:pPr>
      <w:r>
        <w:rPr>
          <w:rFonts w:hint="eastAsia"/>
        </w:rPr>
        <w:t>项目</w:t>
      </w:r>
      <w:r>
        <w:t>概况：</w:t>
      </w:r>
    </w:p>
    <w:p w14:paraId="122057FC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冠层稀疏类乔木投影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25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㎡(叶面积指数2</w:t>
      </w:r>
      <w:r>
        <w:rPr>
          <w:rFonts w:ascii="MS Mincho" w:hAnsi="MS Mincho" w:cs="MS Mincho"/>
          <w:kern w:val="0"/>
          <w:sz w:val="25"/>
          <w:szCs w:val="25"/>
        </w:rPr>
        <w:t>)</w:t>
      </w:r>
    </w:p>
    <w:p w14:paraId="4D340E9F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冠层稀疏类乔木株数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180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株</w:t>
      </w:r>
    </w:p>
    <w:p w14:paraId="415011CD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冠层密集类乔木投影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20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㎡(叶面积指数</w:t>
      </w:r>
      <w:r>
        <w:rPr>
          <w:rFonts w:ascii="MS Mincho" w:hAnsi="MS Mincho" w:cs="MS Mincho"/>
          <w:kern w:val="0"/>
          <w:sz w:val="25"/>
          <w:szCs w:val="25"/>
        </w:rPr>
        <w:t>4)</w:t>
      </w:r>
    </w:p>
    <w:p w14:paraId="7A45A6E6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冠层密集类乔木株数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242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株</w:t>
      </w:r>
    </w:p>
    <w:p w14:paraId="790A4D44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灌木占地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1500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 w14:paraId="09EDAF9D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草地占地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4290.35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 w14:paraId="3D6B8AD3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场地面积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27481.02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 w14:paraId="69637944">
      <w:pPr>
        <w:pStyle w:val="3"/>
        <w:jc w:val="left"/>
      </w:pPr>
      <w:r>
        <w:rPr>
          <w:rFonts w:hint="eastAsia"/>
        </w:rPr>
        <w:t>计算</w:t>
      </w:r>
      <w:r>
        <w:t>：</w:t>
      </w:r>
    </w:p>
    <w:p w14:paraId="1873F187">
      <w:pPr>
        <w:ind w:firstLine="420"/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绿容率=[</w:t>
      </w:r>
      <w:r>
        <w:rPr>
          <w:rFonts w:ascii="MS Mincho" w:hAnsi="MS Mincho" w:cs="MS Mincho"/>
          <w:kern w:val="0"/>
          <w:sz w:val="25"/>
          <w:szCs w:val="25"/>
        </w:rPr>
        <w:t>∑(</w:t>
      </w:r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叶面积</w:t>
      </w:r>
      <w:r>
        <w:rPr>
          <w:rFonts w:hint="eastAsia" w:ascii="MS Mincho" w:hAnsi="MS Mincho" w:cs="MS Mincho"/>
          <w:kern w:val="0"/>
          <w:sz w:val="25"/>
          <w:szCs w:val="25"/>
        </w:rPr>
        <w:t>指数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投影面积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株数)</w:t>
      </w:r>
      <w:r>
        <w:rPr>
          <w:rFonts w:hint="eastAsia" w:ascii="MS Mincho" w:hAnsi="MS Mincho" w:cs="MS Mincho"/>
          <w:kern w:val="0"/>
          <w:sz w:val="25"/>
          <w:szCs w:val="25"/>
        </w:rPr>
        <w:t>+ 灌木占地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3+草地占地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1</w:t>
      </w:r>
      <w:r>
        <w:rPr>
          <w:rFonts w:ascii="MS Mincho" w:hAnsi="MS Mincho" w:cs="MS Mincho"/>
          <w:kern w:val="0"/>
          <w:sz w:val="25"/>
          <w:szCs w:val="25"/>
        </w:rPr>
        <w:t>]/</w:t>
      </w:r>
      <w:r>
        <w:rPr>
          <w:rFonts w:hint="eastAsia" w:ascii="MS Mincho" w:hAnsi="MS Mincho" w:cs="MS Mincho"/>
          <w:kern w:val="0"/>
          <w:sz w:val="25"/>
          <w:szCs w:val="25"/>
        </w:rPr>
        <w:t xml:space="preserve"> 场地面积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100</w:t>
      </w:r>
      <w:r>
        <w:rPr>
          <w:rFonts w:ascii="MS Mincho" w:hAnsi="MS Mincho" w:cs="MS Mincho"/>
          <w:kern w:val="0"/>
          <w:sz w:val="25"/>
          <w:szCs w:val="25"/>
        </w:rPr>
        <w:t>%</w:t>
      </w:r>
    </w:p>
    <w:p w14:paraId="6BC63417">
      <w:pPr>
        <w:ind w:firstLine="420"/>
        <w:rPr>
          <w:rFonts w:hint="eastAsia"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>=</w:t>
      </w:r>
      <w:r>
        <w:rPr>
          <w:rFonts w:hint="eastAsia" w:ascii="MS Mincho" w:hAnsi="MS Mincho" w:cs="MS Mincho"/>
          <w:kern w:val="0"/>
          <w:sz w:val="25"/>
          <w:szCs w:val="25"/>
        </w:rPr>
        <w:t xml:space="preserve"> [(2×25×180) + (4×20×242) + (1500×3) + (4290.35×1)] / 27481.02×100%</w:t>
      </w:r>
    </w:p>
    <w:p w14:paraId="4C09F88D">
      <w:pPr>
        <w:ind w:firstLine="420"/>
        <w:rPr>
          <w:rFonts w:hint="eastAsia"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= [9000+ 19360 + 4500 + 4290.35] / 27481.02×100%</w:t>
      </w:r>
    </w:p>
    <w:p w14:paraId="24356379">
      <w:pPr>
        <w:ind w:firstLine="420"/>
        <w:rPr>
          <w:rFonts w:hint="eastAsia"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= 37150.35 / 27481.02×100%</w:t>
      </w:r>
    </w:p>
    <w:p w14:paraId="04960E1A">
      <w:pPr>
        <w:ind w:firstLine="420"/>
        <w:rPr>
          <w:rFonts w:ascii="MS Mincho" w:hAnsi="MS Mincho" w:cs="MS Mincho"/>
          <w:kern w:val="0"/>
          <w:sz w:val="25"/>
          <w:szCs w:val="25"/>
          <w:u w:val="single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≈ 135.2%</w:t>
      </w:r>
    </w:p>
    <w:p w14:paraId="37EF3C11">
      <w:pPr>
        <w:pStyle w:val="3"/>
        <w:jc w:val="left"/>
      </w:pPr>
      <w:r>
        <w:rPr>
          <w:rFonts w:hint="eastAsia"/>
        </w:rPr>
        <w:t>结论</w:t>
      </w:r>
      <w:r>
        <w:t>：</w:t>
      </w:r>
    </w:p>
    <w:p w14:paraId="57C3B056">
      <w:pPr>
        <w:ind w:firstLine="420"/>
      </w:pPr>
      <w:r>
        <w:rPr>
          <w:rFonts w:hint="eastAsia"/>
        </w:rPr>
        <w:t>经验算，</w:t>
      </w:r>
      <w:r>
        <w:t>绿容率为</w:t>
      </w:r>
      <w:r>
        <w:rPr>
          <w:rFonts w:hint="eastAsia"/>
          <w:lang w:val="en-US" w:eastAsia="zh-CN"/>
        </w:rPr>
        <w:t>135.2</w:t>
      </w:r>
      <w:r>
        <w:t>，满足规范要求，得</w:t>
      </w:r>
      <w:r>
        <w:rPr>
          <w:rFonts w:hint="eastAsia"/>
        </w:rPr>
        <w:t>3分</w:t>
      </w:r>
      <w: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ＭＳ 明朝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C3B"/>
    <w:rsid w:val="00395669"/>
    <w:rsid w:val="005D4F88"/>
    <w:rsid w:val="008D311B"/>
    <w:rsid w:val="00F57482"/>
    <w:rsid w:val="00FA6C3B"/>
    <w:rsid w:val="44F5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6">
    <w:name w:val="标题 1 Char"/>
    <w:basedOn w:val="5"/>
    <w:link w:val="2"/>
    <w:uiPriority w:val="9"/>
    <w:rPr>
      <w:b/>
      <w:bCs/>
      <w:kern w:val="44"/>
      <w:sz w:val="44"/>
      <w:szCs w:val="44"/>
    </w:rPr>
  </w:style>
  <w:style w:type="character" w:customStyle="1" w:styleId="7">
    <w:name w:val="标题 Char"/>
    <w:basedOn w:val="5"/>
    <w:link w:val="3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styleId="8">
    <w:name w:val="Placeholder Text"/>
    <w:basedOn w:val="5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243</Words>
  <Characters>268</Characters>
  <Lines>3</Lines>
  <Paragraphs>1</Paragraphs>
  <TotalTime>19</TotalTime>
  <ScaleCrop>false</ScaleCrop>
  <LinksUpToDate>false</LinksUpToDate>
  <CharactersWithSpaces>412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2020-01-10T08:38:00Z</dcterms:created>
  <dc:creator>dongYP</dc:creator>
  <cp:lastModifiedBy>向日葵</cp:lastModifiedBy>
  <dcterms:modified xsi:type="dcterms:W3CDTF">2026-03-27T11:50:39Z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eyJoZGlkIjoiM2MwNTQyNTQ4YjYyMWFmMDY0MDg5YmE1NzQ5OGU4YWUiLCJ1c2VySWQiOiI4OTc2MjQ0NzMifQ==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9079FED37F8D44BA8C0CEF78DCC88FFC_12</vt:lpwstr>
  </property>
</Properties>
</file>