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5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敦煌市阳关镇学校实验楼公共建筑自然通风模拟分析报告</w:t>
      </w:r>
    </w:p>
    <w:p w14:paraId="21C7E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一、模拟依据</w:t>
      </w:r>
    </w:p>
    <w:p w14:paraId="7A0F8F6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《民用建筑供暖通风与空气调节设计规范》GB 50736</w:t>
      </w:r>
    </w:p>
    <w:p w14:paraId="7580400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《绿色建筑评价标准》GB/T 50378</w:t>
      </w:r>
    </w:p>
    <w:p w14:paraId="6C97DF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敦煌市典型气象数据</w:t>
      </w:r>
    </w:p>
    <w:p w14:paraId="15F8D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二、模拟软件采用斯维尔 VENT 软件进行室内气流组织模拟。</w:t>
      </w:r>
    </w:p>
    <w:p w14:paraId="3ADFA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三、模拟结果</w:t>
      </w:r>
    </w:p>
    <w:p w14:paraId="11622D1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rStyle w:val="4"/>
          <w:b/>
          <w:bCs/>
          <w:sz w:val="24"/>
          <w:szCs w:val="24"/>
          <w:bdr w:val="none" w:color="auto" w:sz="0" w:space="0"/>
        </w:rPr>
        <w:t>通风开口面积比</w:t>
      </w:r>
      <w:r>
        <w:rPr>
          <w:sz w:val="24"/>
          <w:szCs w:val="24"/>
          <w:bdr w:val="none" w:color="auto" w:sz="0" w:space="0"/>
        </w:rPr>
        <w:t>：外窗可开启面积与房间地板面积比达到 12%，≥10%，满足要求。</w:t>
      </w:r>
    </w:p>
    <w:p w14:paraId="2488F4E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rStyle w:val="4"/>
          <w:b/>
          <w:bCs/>
          <w:sz w:val="24"/>
          <w:szCs w:val="24"/>
          <w:bdr w:val="none" w:color="auto" w:sz="0" w:space="0"/>
        </w:rPr>
        <w:t>自然通风时数</w:t>
      </w:r>
      <w:r>
        <w:rPr>
          <w:sz w:val="24"/>
          <w:szCs w:val="24"/>
          <w:bdr w:val="none" w:color="auto" w:sz="0" w:space="0"/>
        </w:rPr>
        <w:t>：</w:t>
      </w:r>
    </w:p>
    <w:p w14:paraId="1183882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一层教室：≥2h/d 面积比例 85%</w:t>
      </w:r>
    </w:p>
    <w:p w14:paraId="6BB41CD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二层实验室：≥2h/d 面积比例 82%</w:t>
      </w:r>
    </w:p>
    <w:p w14:paraId="3F02885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三层办公室：≥2h/d 面积比例 78%</w:t>
      </w:r>
    </w:p>
    <w:p w14:paraId="448E952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四层走廊：≥2h/d 面积比例 75%</w:t>
      </w:r>
    </w:p>
    <w:p w14:paraId="1C1E6C0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五层设备机房：采用机械通风</w:t>
      </w:r>
    </w:p>
    <w:p w14:paraId="468F900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rStyle w:val="4"/>
          <w:b/>
          <w:bCs/>
          <w:sz w:val="24"/>
          <w:szCs w:val="24"/>
          <w:bdr w:val="none" w:color="auto" w:sz="0" w:space="0"/>
        </w:rPr>
        <w:t>整体达标比例</w:t>
      </w:r>
      <w:r>
        <w:rPr>
          <w:sz w:val="24"/>
          <w:szCs w:val="24"/>
          <w:bdr w:val="none" w:color="auto" w:sz="0" w:space="0"/>
        </w:rPr>
        <w:t>：主要功能房间自然通风时数≥2h/d 的面积比例达到</w:t>
      </w:r>
      <w:r>
        <w:rPr>
          <w:rStyle w:val="4"/>
          <w:b/>
          <w:bCs/>
          <w:sz w:val="24"/>
          <w:szCs w:val="24"/>
          <w:bdr w:val="none" w:color="auto" w:sz="0" w:space="0"/>
        </w:rPr>
        <w:t>80%</w:t>
      </w:r>
      <w:r>
        <w:rPr>
          <w:sz w:val="24"/>
          <w:szCs w:val="24"/>
          <w:bdr w:val="none" w:color="auto" w:sz="0" w:space="0"/>
        </w:rPr>
        <w:t>。</w:t>
      </w:r>
    </w:p>
    <w:p w14:paraId="6043A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四、结论自然通风优化效果良好，达标比例达到 70% 以上，符合评分项要求。</w:t>
      </w:r>
    </w:p>
    <w:p w14:paraId="2CF539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2FED1"/>
    <w:multiLevelType w:val="multilevel"/>
    <w:tmpl w:val="B102FE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F4F4A55"/>
    <w:multiLevelType w:val="multilevel"/>
    <w:tmpl w:val="1F4F4A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2026-03-30T08:28:25Z</dcterms:created>
  <dc:creator>HW</dc:creator>
  <cp:lastModifiedBy>余味</cp:lastModifiedBy>
  <dcterms:modified xsi:type="dcterms:W3CDTF">2026-03-30T08:28:30Z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D697356CF1BC44FABEBC8CF06230F328_12</vt:lpwstr>
  </property>
</Properties>
</file>