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C66CBD">
      <w:pPr>
        <w:numPr>
          <w:ilvl w:val="0"/>
          <w:numId w:val="0"/>
        </w:numPr>
        <w:rPr>
          <w:rFonts w:hint="eastAsia" w:asciiTheme="minorEastAsia" w:hAnsiTheme="minorEastAsia" w:eastAsiaTheme="minorEastAsia" w:cstheme="minorEastAsia"/>
          <w:sz w:val="36"/>
          <w:szCs w:val="36"/>
        </w:rPr>
      </w:pPr>
      <w:r>
        <w:rPr>
          <w:rFonts w:hint="eastAsia" w:asciiTheme="minorHAnsi" w:hAnsiTheme="minorHAnsi" w:eastAsiaTheme="minorEastAsia" w:cstheme="minorBidi"/>
          <w:sz w:val="36"/>
          <w:szCs w:val="36"/>
          <w:lang w:val="en-US" w:eastAsia="zh-CN"/>
        </w:rPr>
        <w:t>一、建筑地理位置</w:t>
      </w:r>
    </w:p>
    <w:p w14:paraId="4DDB68E0">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anchor distT="0" distB="0" distL="114300" distR="114300" simplePos="0" relativeHeight="251664384" behindDoc="0" locked="0" layoutInCell="1" allowOverlap="1">
            <wp:simplePos x="0" y="0"/>
            <wp:positionH relativeFrom="column">
              <wp:posOffset>0</wp:posOffset>
            </wp:positionH>
            <wp:positionV relativeFrom="paragraph">
              <wp:posOffset>2490470</wp:posOffset>
            </wp:positionV>
            <wp:extent cx="5269230" cy="3679825"/>
            <wp:effectExtent l="0" t="0" r="3810" b="8255"/>
            <wp:wrapTopAndBottom/>
            <wp:docPr id="1" name="图片 1" descr="C:/Users/20568/Desktop/fffff.pngfff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20568/Desktop/fffff.pngfffff"/>
                    <pic:cNvPicPr>
                      <a:picLocks noChangeAspect="1"/>
                    </pic:cNvPicPr>
                  </pic:nvPicPr>
                  <pic:blipFill>
                    <a:blip r:embed="rId4"/>
                    <a:srcRect l="12" r="12"/>
                    <a:stretch>
                      <a:fillRect/>
                    </a:stretch>
                  </pic:blipFill>
                  <pic:spPr>
                    <a:xfrm>
                      <a:off x="0" y="0"/>
                      <a:ext cx="5269230" cy="3679825"/>
                    </a:xfrm>
                    <a:prstGeom prst="rect">
                      <a:avLst/>
                    </a:prstGeom>
                    <a:noFill/>
                    <a:ln>
                      <a:noFill/>
                    </a:ln>
                  </pic:spPr>
                </pic:pic>
              </a:graphicData>
            </a:graphic>
          </wp:anchor>
        </w:drawing>
      </w:r>
      <w:r>
        <w:rPr>
          <w:rFonts w:hint="eastAsia" w:asciiTheme="minorEastAsia" w:hAnsiTheme="minorEastAsia" w:eastAsiaTheme="minorEastAsia" w:cstheme="minorEastAsia"/>
          <w:sz w:val="24"/>
          <w:szCs w:val="24"/>
        </w:rPr>
        <w:t>该建筑位于甘肃省酒泉市敦煌市阳关镇，地处敦煌市区西南64至70公里处，镇政府驻地为寿昌村，坐落于河西走廊最西端、敦煌盆地西南缘，约东经94.10°、北纬39.90°。其东连敦煌市区绿洲与党河水库，南接阿克塞哈萨克族自治县、背靠祁连山余脉，西临库木塔格沙漠且与新疆相望，北依党河下游谷地、毗邻古玉门关，属戈壁、绿洲、沙漠复合地貌，依托渥洼池与党河支流形成敦煌西部核心绿洲。这里是古丝绸之路南线咽喉要地，为汉代龙勒县、唐代寿昌县治所，阳关遗址坐落镇域内，也是敦煌西线旅游的关键节点，敦煌至阳关旅游公路穿镇而过，扼守敦煌西南交通门户。</w:t>
      </w:r>
    </w:p>
    <w:p w14:paraId="755332E9">
      <w:pPr>
        <w:numPr>
          <w:ilvl w:val="0"/>
          <w:numId w:val="0"/>
        </w:numPr>
        <w:rPr>
          <w:rFonts w:hint="eastAsia" w:asciiTheme="minorEastAsia" w:hAnsiTheme="minorEastAsia" w:eastAsiaTheme="minorEastAsia" w:cstheme="minorEastAsia"/>
          <w:szCs w:val="24"/>
        </w:rPr>
      </w:pPr>
      <w:r>
        <w:rPr>
          <w:rFonts w:hint="eastAsia" w:asciiTheme="minorHAnsi" w:hAnsiTheme="minorHAnsi" w:eastAsiaTheme="minorEastAsia" w:cstheme="minorBidi"/>
          <w:sz w:val="36"/>
          <w:szCs w:val="36"/>
          <w:lang w:val="en-US" w:eastAsia="zh-CN"/>
        </w:rPr>
        <w:t>二、沙基-卵石分层蓄热装置</w:t>
      </w:r>
    </w:p>
    <w:p w14:paraId="70E6B6A4">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西北地区推广绿色建筑，最大的痛点在于：白天太阳能丰富但用不完，夜晚严寒却热量不足。为了解决这个“能量时间差”,我们设计了一个埋在地下的超级“热量银行”。我们最大的创新，是摒弃了昂贵的工业蓄热材料，选择 100%向敦煌的自然借力，充分利用当地风积沙、戈壁卵石等天然建材，设计并建造地下分层式太阳能蓄热装置，形成“快速导热—长效蓄热—传统保温”的一体化储能体系，有效应对敦煌地区昼夜温差大、太阳能供热间歇性强的问题。我们的装置从下到上分为三层:</w:t>
      </w:r>
    </w:p>
    <w:p w14:paraId="4F45B60E">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anchor distT="0" distB="0" distL="114300" distR="114300" simplePos="0" relativeHeight="251665408" behindDoc="0" locked="0" layoutInCell="1" allowOverlap="1">
            <wp:simplePos x="0" y="0"/>
            <wp:positionH relativeFrom="column">
              <wp:posOffset>35560</wp:posOffset>
            </wp:positionH>
            <wp:positionV relativeFrom="paragraph">
              <wp:posOffset>5467350</wp:posOffset>
            </wp:positionV>
            <wp:extent cx="5079365" cy="2754630"/>
            <wp:effectExtent l="0" t="0" r="10795" b="3810"/>
            <wp:wrapTopAndBottom/>
            <wp:docPr id="5" name="图片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
                    <pic:cNvPicPr>
                      <a:picLocks noChangeAspect="1"/>
                    </pic:cNvPicPr>
                  </pic:nvPicPr>
                  <pic:blipFill>
                    <a:blip r:embed="rId5"/>
                    <a:srcRect r="297" b="45298"/>
                    <a:stretch>
                      <a:fillRect/>
                    </a:stretch>
                  </pic:blipFill>
                  <pic:spPr>
                    <a:xfrm>
                      <a:off x="0" y="0"/>
                      <a:ext cx="5079365" cy="2754630"/>
                    </a:xfrm>
                    <a:prstGeom prst="rect">
                      <a:avLst/>
                    </a:prstGeom>
                  </pic:spPr>
                </pic:pic>
              </a:graphicData>
            </a:graphic>
          </wp:anchor>
        </w:drawing>
      </w:r>
      <w:r>
        <w:rPr>
          <w:rFonts w:hint="eastAsia" w:asciiTheme="minorEastAsia" w:hAnsiTheme="minorEastAsia" w:eastAsiaTheme="minorEastAsia" w:cstheme="minorEastAsia"/>
          <w:sz w:val="24"/>
          <w:szCs w:val="24"/>
        </w:rPr>
        <w:drawing>
          <wp:anchor distT="0" distB="0" distL="114300" distR="114300" simplePos="0" relativeHeight="251663360" behindDoc="0" locked="0" layoutInCell="1" allowOverlap="1">
            <wp:simplePos x="0" y="0"/>
            <wp:positionH relativeFrom="column">
              <wp:posOffset>0</wp:posOffset>
            </wp:positionH>
            <wp:positionV relativeFrom="paragraph">
              <wp:posOffset>29210</wp:posOffset>
            </wp:positionV>
            <wp:extent cx="5251450" cy="2950845"/>
            <wp:effectExtent l="0" t="0" r="6350" b="5715"/>
            <wp:wrapTopAndBottom/>
            <wp:docPr id="3"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
                    <pic:cNvPicPr>
                      <a:picLocks noChangeAspect="1"/>
                    </pic:cNvPicPr>
                  </pic:nvPicPr>
                  <pic:blipFill>
                    <a:blip r:embed="rId6"/>
                    <a:stretch>
                      <a:fillRect/>
                    </a:stretch>
                  </pic:blipFill>
                  <pic:spPr>
                    <a:xfrm>
                      <a:off x="0" y="0"/>
                      <a:ext cx="5251450" cy="2950845"/>
                    </a:xfrm>
                    <a:prstGeom prst="rect">
                      <a:avLst/>
                    </a:prstGeom>
                  </pic:spPr>
                </pic:pic>
              </a:graphicData>
            </a:graphic>
          </wp:anchor>
        </w:drawing>
      </w:r>
      <w:r>
        <w:rPr>
          <w:rFonts w:hint="eastAsia" w:asciiTheme="minorEastAsia" w:hAnsiTheme="minorEastAsia" w:eastAsiaTheme="minorEastAsia" w:cstheme="minorEastAsia"/>
          <w:sz w:val="24"/>
          <w:szCs w:val="24"/>
        </w:rPr>
        <w:t>第一层是“</w:t>
      </w:r>
      <w:r>
        <w:rPr>
          <w:rFonts w:hint="eastAsia" w:asciiTheme="minorEastAsia" w:hAnsiTheme="minorEastAsia" w:eastAsiaTheme="minorEastAsia" w:cstheme="minorEastAsia"/>
          <w:color w:val="auto"/>
          <w:sz w:val="24"/>
          <w:szCs w:val="24"/>
        </w:rPr>
        <w:t>超级充电头”——底层戈壁卵石与铜管层</w:t>
      </w:r>
      <w:r>
        <w:rPr>
          <w:rFonts w:hint="eastAsia" w:asciiTheme="minorEastAsia" w:hAnsiTheme="minorEastAsia" w:eastAsiaTheme="minorEastAsia" w:cstheme="minorEastAsia"/>
          <w:sz w:val="24"/>
          <w:szCs w:val="24"/>
        </w:rPr>
        <w:t>。 我们利用导热极快的铜管盘管搭配敦煌戈壁滩随处可见的硬质卵石，构建起一套高效的“快充”网络。白天，太阳能集热器捕获的高温热水流经盘管时，铜的极速导热性能会瞬间将流体携带的热量“泵”入周围卵石基质；而卵石层密集的连通孔隙，又像无数条微型热流通道，让热量在下层全域爆发式扩散，避免局部过热，实现热能在短时间内的高效“快充”。这种“铜管+卵石”的组合，既利用了本地材料零运输成本的优势，又通过高导热介质解决了太阳能热量“进得快、散得开”的核心问题，为中层蓄热层提供了稳定的热量输入基础。</w:t>
      </w:r>
    </w:p>
    <w:p w14:paraId="279E3A85">
      <w:pPr>
        <w:spacing w:line="360" w:lineRule="auto"/>
        <w:ind w:firstLine="480" w:firstLineChars="2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drawing>
          <wp:anchor distT="0" distB="0" distL="114300" distR="114300" simplePos="0" relativeHeight="251661312" behindDoc="0" locked="0" layoutInCell="1" allowOverlap="1">
            <wp:simplePos x="0" y="0"/>
            <wp:positionH relativeFrom="column">
              <wp:posOffset>40640</wp:posOffset>
            </wp:positionH>
            <wp:positionV relativeFrom="paragraph">
              <wp:posOffset>2452370</wp:posOffset>
            </wp:positionV>
            <wp:extent cx="2369185" cy="3549015"/>
            <wp:effectExtent l="0" t="0" r="8255" b="1905"/>
            <wp:wrapTopAndBottom/>
            <wp:docPr id="7" name="图片 7"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3"/>
                    <pic:cNvPicPr>
                      <a:picLocks noChangeAspect="1"/>
                    </pic:cNvPicPr>
                  </pic:nvPicPr>
                  <pic:blipFill>
                    <a:blip r:embed="rId7"/>
                    <a:stretch>
                      <a:fillRect/>
                    </a:stretch>
                  </pic:blipFill>
                  <pic:spPr>
                    <a:xfrm>
                      <a:off x="0" y="0"/>
                      <a:ext cx="2369185" cy="3549015"/>
                    </a:xfrm>
                    <a:prstGeom prst="rect">
                      <a:avLst/>
                    </a:prstGeom>
                  </pic:spPr>
                </pic:pic>
              </a:graphicData>
            </a:graphic>
          </wp:anchor>
        </w:drawing>
      </w:r>
      <w:r>
        <w:rPr>
          <w:rFonts w:hint="eastAsia" w:asciiTheme="minorEastAsia" w:hAnsiTheme="minorEastAsia" w:eastAsiaTheme="minorEastAsia" w:cstheme="minorEastAsia"/>
          <w:sz w:val="24"/>
          <w:szCs w:val="24"/>
        </w:rPr>
        <w:t>第二层是“</w:t>
      </w:r>
      <w:r>
        <w:rPr>
          <w:rFonts w:hint="eastAsia" w:asciiTheme="minorEastAsia" w:hAnsiTheme="minorEastAsia" w:eastAsiaTheme="minorEastAsia" w:cstheme="minorEastAsia"/>
          <w:color w:val="auto"/>
          <w:sz w:val="24"/>
          <w:szCs w:val="24"/>
        </w:rPr>
        <w:t>海量电池仓”——中层改良沙土层</w:t>
      </w:r>
      <w:r>
        <w:rPr>
          <w:rFonts w:hint="eastAsia" w:asciiTheme="minorEastAsia" w:hAnsiTheme="minorEastAsia" w:eastAsiaTheme="minorEastAsia" w:cstheme="minorEastAsia"/>
          <w:sz w:val="24"/>
          <w:szCs w:val="24"/>
        </w:rPr>
        <w:t>。这一层深度挖掘了敦煌最具代表性的自然资源——风积沙。我们对本地细沙进行改性处理，大幅提升其热容量与结构稳定性。改良后的沙土层凭借庞大的体积与极高的比热容，将底层传递上来的热量牢牢“锁”在基质中：白天快速吸纳热量，夜间则缓慢、平稳地释放，可连续为实验楼提供约8小时的基础供热，彻底抹平太阳能“日间有余、夜间不足”的供需波动。更可贵的是，风积沙作为敦煌原生材料，成本几乎为零，却能实现大规模长效蓄热，让这套系统在经济性与实用性上具备了无可比拟的地域优势。</w:t>
      </w:r>
    </w:p>
    <w:p w14:paraId="2905F285">
      <w:pPr>
        <w:spacing w:line="360" w:lineRule="auto"/>
        <w:ind w:firstLine="480" w:firstLineChars="2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drawing>
          <wp:anchor distT="0" distB="0" distL="114300" distR="114300" simplePos="0" relativeHeight="251666432" behindDoc="0" locked="0" layoutInCell="1" allowOverlap="1">
            <wp:simplePos x="0" y="0"/>
            <wp:positionH relativeFrom="column">
              <wp:posOffset>2764155</wp:posOffset>
            </wp:positionH>
            <wp:positionV relativeFrom="paragraph">
              <wp:posOffset>118745</wp:posOffset>
            </wp:positionV>
            <wp:extent cx="2484755" cy="3484880"/>
            <wp:effectExtent l="0" t="0" r="14605" b="5080"/>
            <wp:wrapTopAndBottom/>
            <wp:docPr id="11" name="图片 11" descr="vvvvv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vvvvvv"/>
                    <pic:cNvPicPr>
                      <a:picLocks noChangeAspect="1"/>
                    </pic:cNvPicPr>
                  </pic:nvPicPr>
                  <pic:blipFill>
                    <a:blip r:embed="rId8"/>
                    <a:stretch>
                      <a:fillRect/>
                    </a:stretch>
                  </pic:blipFill>
                  <pic:spPr>
                    <a:xfrm>
                      <a:off x="0" y="0"/>
                      <a:ext cx="2484755" cy="3484880"/>
                    </a:xfrm>
                    <a:prstGeom prst="rect">
                      <a:avLst/>
                    </a:prstGeom>
                  </pic:spPr>
                </pic:pic>
              </a:graphicData>
            </a:graphic>
          </wp:anchor>
        </w:drawing>
      </w:r>
      <w:r>
        <w:rPr>
          <w:rFonts w:hint="eastAsia" w:asciiTheme="minorEastAsia" w:hAnsiTheme="minorEastAsia" w:eastAsiaTheme="minorEastAsia" w:cstheme="minorEastAsia"/>
          <w:sz w:val="24"/>
          <w:szCs w:val="24"/>
        </w:rPr>
        <w:t>第三层是“</w:t>
      </w:r>
      <w:r>
        <w:rPr>
          <w:rFonts w:hint="eastAsia" w:asciiTheme="minorEastAsia" w:hAnsiTheme="minorEastAsia" w:eastAsiaTheme="minorEastAsia" w:cstheme="minorEastAsia"/>
          <w:color w:val="auto"/>
          <w:sz w:val="24"/>
          <w:szCs w:val="24"/>
        </w:rPr>
        <w:t>定制保暖羽绒服”——顶层麦秸秆夯土层</w:t>
      </w:r>
      <w:r>
        <w:rPr>
          <w:rFonts w:hint="eastAsia" w:asciiTheme="minorEastAsia" w:hAnsiTheme="minorEastAsia" w:eastAsiaTheme="minorEastAsia" w:cstheme="minorEastAsia"/>
          <w:sz w:val="24"/>
          <w:szCs w:val="24"/>
        </w:rPr>
        <w:t>。 我们沿用敦煌地区自汉代长城、古城墙体传承至今的生土营建智慧，将麦秸秆这种农业废弃物与本地生土混合夯筑，形成一层致密的复合保温层。麦秸秆的中空多孔结构，在夯土内部构筑了无数微小气室，极大降低了材料的导热系数；而夯土的密实性又保证了良好的气密性，两者结合就像为系统穿上了一件量身定制的“保暖羽绒服”，彻底切断了热量向上传递至地表与大气的路径。这种传统材料的现代应用，不仅实现了极低的热损失，更让农业废弃物变废为宝，在低碳环保的同时，完成了敦煌生土建筑文化的活态传承。</w:t>
      </w:r>
    </w:p>
    <w:p w14:paraId="39214926">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drawing>
          <wp:anchor distT="0" distB="0" distL="114300" distR="114300" simplePos="0" relativeHeight="251667456" behindDoc="0" locked="0" layoutInCell="1" allowOverlap="1">
            <wp:simplePos x="0" y="0"/>
            <wp:positionH relativeFrom="column">
              <wp:posOffset>2840990</wp:posOffset>
            </wp:positionH>
            <wp:positionV relativeFrom="page">
              <wp:posOffset>1177925</wp:posOffset>
            </wp:positionV>
            <wp:extent cx="2791460" cy="3568700"/>
            <wp:effectExtent l="0" t="0" r="12700" b="12700"/>
            <wp:wrapTopAndBottom/>
            <wp:docPr id="12" name="图片 12" descr="ttttt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ttttttt"/>
                    <pic:cNvPicPr>
                      <a:picLocks noChangeAspect="1"/>
                    </pic:cNvPicPr>
                  </pic:nvPicPr>
                  <pic:blipFill>
                    <a:blip r:embed="rId9"/>
                    <a:stretch>
                      <a:fillRect/>
                    </a:stretch>
                  </pic:blipFill>
                  <pic:spPr>
                    <a:xfrm>
                      <a:off x="0" y="0"/>
                      <a:ext cx="2791460" cy="3568700"/>
                    </a:xfrm>
                    <a:prstGeom prst="rect">
                      <a:avLst/>
                    </a:prstGeom>
                  </pic:spPr>
                </pic:pic>
              </a:graphicData>
            </a:graphic>
          </wp:anchor>
        </w:drawing>
      </w:r>
      <w:r>
        <w:rPr>
          <w:rFonts w:hint="eastAsia" w:asciiTheme="minorEastAsia" w:hAnsiTheme="minorEastAsia" w:eastAsiaTheme="minorEastAsia" w:cstheme="minorEastAsia"/>
          <w:sz w:val="24"/>
          <w:szCs w:val="24"/>
        </w:rPr>
        <w:drawing>
          <wp:anchor distT="0" distB="0" distL="114300" distR="114300" simplePos="0" relativeHeight="251662336" behindDoc="0" locked="0" layoutInCell="1" allowOverlap="1">
            <wp:simplePos x="0" y="0"/>
            <wp:positionH relativeFrom="column">
              <wp:posOffset>-146685</wp:posOffset>
            </wp:positionH>
            <wp:positionV relativeFrom="page">
              <wp:posOffset>1173480</wp:posOffset>
            </wp:positionV>
            <wp:extent cx="2752725" cy="3580130"/>
            <wp:effectExtent l="0" t="0" r="5715" b="1270"/>
            <wp:wrapTopAndBottom/>
            <wp:docPr id="2" name="图片 2" descr="2026-03-21 09:21:08.86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26-03-21 09:21:08.865000"/>
                    <pic:cNvPicPr>
                      <a:picLocks noChangeAspect="1"/>
                    </pic:cNvPicPr>
                  </pic:nvPicPr>
                  <pic:blipFill>
                    <a:blip r:embed="rId10"/>
                    <a:stretch>
                      <a:fillRect/>
                    </a:stretch>
                  </pic:blipFill>
                  <pic:spPr>
                    <a:xfrm>
                      <a:off x="0" y="0"/>
                      <a:ext cx="2752725" cy="3580130"/>
                    </a:xfrm>
                    <a:prstGeom prst="rect">
                      <a:avLst/>
                    </a:prstGeom>
                  </pic:spPr>
                </pic:pic>
              </a:graphicData>
            </a:graphic>
          </wp:anchor>
        </w:drawing>
      </w:r>
      <w:r>
        <w:rPr>
          <w:rFonts w:hint="eastAsia" w:asciiTheme="minorEastAsia" w:hAnsiTheme="minorEastAsia" w:eastAsiaTheme="minorEastAsia" w:cstheme="minorEastAsia"/>
          <w:sz w:val="24"/>
          <w:szCs w:val="24"/>
        </w:rPr>
        <w:t>总结来说，我们的设计不仅是一个热力学上的高效蓄热系统，更是一次建筑与地域文化的深度融合。我们用风积沙、戈壁石、麦秸秆，以极低的经济和碳排放成本，既是现代太阳能储能技术的当地化实践，也是对敦煌传统生土建筑智慧的当代创新转译，打造了一个真正属于大西北的绿色建筑能源解决方案。</w:t>
      </w:r>
    </w:p>
    <w:p w14:paraId="5CA437F0">
      <w:pPr>
        <w:widowControl/>
        <w:jc w:val="left"/>
        <w:rPr>
          <w:rFonts w:hint="eastAsia" w:asciiTheme="minorEastAsia" w:hAnsiTheme="minorEastAsia" w:eastAsiaTheme="minorEastAsia" w:cstheme="minorEastAsia"/>
          <w:color w:val="000000"/>
          <w:kern w:val="0"/>
          <w:sz w:val="24"/>
          <w:szCs w:val="24"/>
          <w:lang w:bidi="ar"/>
        </w:rPr>
      </w:pPr>
    </w:p>
    <w:p w14:paraId="4CFFF6B8">
      <w:pPr>
        <w:widowControl/>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anchor distT="0" distB="0" distL="114300" distR="114300" simplePos="0" relativeHeight="251668480" behindDoc="0" locked="0" layoutInCell="1" allowOverlap="1">
            <wp:simplePos x="0" y="0"/>
            <wp:positionH relativeFrom="column">
              <wp:posOffset>-34290</wp:posOffset>
            </wp:positionH>
            <wp:positionV relativeFrom="page">
              <wp:posOffset>6082030</wp:posOffset>
            </wp:positionV>
            <wp:extent cx="5266690" cy="2800350"/>
            <wp:effectExtent l="0" t="0" r="6350" b="3810"/>
            <wp:wrapTopAndBottom/>
            <wp:docPr id="4" name="图片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
                    <pic:cNvPicPr>
                      <a:picLocks noChangeAspect="1"/>
                    </pic:cNvPicPr>
                  </pic:nvPicPr>
                  <pic:blipFill>
                    <a:blip r:embed="rId11"/>
                    <a:stretch>
                      <a:fillRect/>
                    </a:stretch>
                  </pic:blipFill>
                  <pic:spPr>
                    <a:xfrm>
                      <a:off x="0" y="0"/>
                      <a:ext cx="5266690" cy="2800350"/>
                    </a:xfrm>
                    <a:prstGeom prst="rect">
                      <a:avLst/>
                    </a:prstGeom>
                  </pic:spPr>
                </pic:pic>
              </a:graphicData>
            </a:graphic>
          </wp:anchor>
        </w:drawing>
      </w:r>
      <w:r>
        <w:rPr>
          <w:rFonts w:hint="eastAsia" w:asciiTheme="minorEastAsia" w:hAnsiTheme="minorEastAsia" w:eastAsiaTheme="minorEastAsia" w:cstheme="minorEastAsia"/>
          <w:color w:val="000000"/>
          <w:kern w:val="0"/>
          <w:sz w:val="24"/>
          <w:szCs w:val="24"/>
          <w:lang w:bidi="ar"/>
        </w:rPr>
        <w:t>装置各层功能详解:</w:t>
      </w:r>
    </w:p>
    <w:p w14:paraId="12A8C85D">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bCs w:val="0"/>
          <w:sz w:val="24"/>
          <w:szCs w:val="24"/>
        </w:rPr>
        <w:t>1.上层：麦秸秆夯土层（绝热保温层）</w:t>
      </w:r>
    </w:p>
    <w:p w14:paraId="701B5141">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材料特性：</w:t>
      </w:r>
    </w:p>
    <w:p w14:paraId="630910AA">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以敦煌地区广泛可得的麦秸秆为增强相，与本地生土（黄土/夯土）按一定比例混合夯筑成型。麦秸秆作为天然生物质纤维，具有中空多孔结构，不仅能提升材料的韧性与抗裂性，还能在夯土内部形成大量微小气隙，从根本上降低整体导热系数。这种“土+草”的复合工艺，源自敦煌汉长城、古城墙等千年生土建筑的营建智慧，是极具地域辨识度的传统材料。</w:t>
      </w:r>
    </w:p>
    <w:p w14:paraId="6DD132E1">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4972685" cy="3030855"/>
            <wp:effectExtent l="0" t="0" r="18415" b="17145"/>
            <wp:docPr id="6" name="图片 6"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2"/>
                    <pic:cNvPicPr>
                      <a:picLocks noChangeAspect="1"/>
                    </pic:cNvPicPr>
                  </pic:nvPicPr>
                  <pic:blipFill>
                    <a:blip r:embed="rId12"/>
                    <a:stretch>
                      <a:fillRect/>
                    </a:stretch>
                  </pic:blipFill>
                  <pic:spPr>
                    <a:xfrm>
                      <a:off x="0" y="0"/>
                      <a:ext cx="4972685" cy="3030855"/>
                    </a:xfrm>
                    <a:prstGeom prst="rect">
                      <a:avLst/>
                    </a:prstGeom>
                  </pic:spPr>
                </pic:pic>
              </a:graphicData>
            </a:graphic>
          </wp:inline>
        </w:drawing>
      </w:r>
    </w:p>
    <w:p w14:paraId="0D99DBE0">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功能作用：</w:t>
      </w:r>
    </w:p>
    <w:p w14:paraId="6294D6D9">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作为装置的顶层覆盖层，麦秸秆夯土层承担着核心的绝热保温使命。其极低的导热率与良好的气密性，能有效阻断热量向上传递至地表与大气的路径，如同为整个蓄热系统披上一件厚重的“保温棉袄”，大幅减少热能在长周期蓄热过程中的散失，确保底层与中层储存的热量被高效封存，为实验楼夜间或无日照时段的稳定供热提供保障。</w:t>
      </w:r>
    </w:p>
    <w:p w14:paraId="03031EB3">
      <w:pPr>
        <w:spacing w:line="360" w:lineRule="auto"/>
        <w:ind w:firstLine="480" w:firstLineChars="20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2.中层：改良风积沙土层（长效蓄热层）</w:t>
      </w:r>
    </w:p>
    <w:p w14:paraId="29BD60AB">
      <w:pPr>
        <w:spacing w:line="360" w:lineRule="auto"/>
        <w:ind w:firstLine="480" w:firstLineChars="20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材料特性：</w:t>
      </w:r>
    </w:p>
    <w:p w14:paraId="613236F8">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以敦煌本地储量丰富的风积沙为基料，通过掺混适量粘土、石灰或其他改性剂进行优化处理，在保留沙粒原有孔隙结构的同时，显著提升材料的整体热容、结构稳定性与抗渗性。风积沙本身颗粒均匀、热稳定性好，经改良后形成的沙土层，既具备足够的结构强度以支撑上层荷载，又拥有较高的体积比热容，是理想的显热蓄热介质。</w:t>
      </w:r>
    </w:p>
    <w:p w14:paraId="5E73B770">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功能作用：</w:t>
      </w:r>
    </w:p>
    <w:p w14:paraId="18511A62">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作为装置的核心蓄热单元，该层扮演着“热力水库”的角色。当底层快速传递来的热量进入后，改良沙土层凭借其庞大的体积与较高的热容量，将热能缓慢吸收并储存起来；在需要供热时，又能平稳、持续地释放热量，有效平滑太阳能“日间充足、夜间匮乏”的供需波动，可满足实验楼约8小时的基础供热需求，从根本上缓解太阳能供热的间歇性问题。</w:t>
      </w:r>
    </w:p>
    <w:p w14:paraId="7A6DDB25">
      <w:pPr>
        <w:spacing w:line="360" w:lineRule="auto"/>
        <w:ind w:firstLine="480" w:firstLineChars="20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3.下层：戈壁卵石层+内置铜管盘管（快速换热层）</w:t>
      </w:r>
    </w:p>
    <w:p w14:paraId="637D0776">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材料特性：</w:t>
      </w:r>
    </w:p>
    <w:p w14:paraId="4E941ECC">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•戈壁卵石：取自敦煌周边戈壁滩，质地坚硬、孔隙率高、导热性能优良，是天然的高效传热介质。其不规则外形与堆叠方式形成的连通孔隙，为热量在下层的快速扩散提供了通道。</w:t>
      </w:r>
    </w:p>
    <w:p w14:paraId="236E454A">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•铜管盘管：选用高纯度铜材制成盘管，铜的导热系数约为400 W/(m·K)，远高于常规金属材料，能实现流体与周围介质间的极速热交换。</w:t>
      </w:r>
    </w:p>
    <w:p w14:paraId="5864DECE">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功能作用：</w:t>
      </w:r>
    </w:p>
    <w:p w14:paraId="30C46425">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该层是系统的热量“充放电”枢纽：</w:t>
      </w:r>
    </w:p>
    <w:p w14:paraId="7942BB13">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充电（蓄热）阶段：来自太阳能集热器的高温流体（水或导热油）流经铜管盘管时，铜的高导热率将热量迅速传递给周围的戈壁卵石，再通过卵石的高孔隙结构快速扩散至整个下层，并进一步向上传递至中层蓄热层，完成热能的高效“快充”。</w:t>
      </w:r>
    </w:p>
    <w:p w14:paraId="100FCDBA">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放电（放热）阶段：低温流体反向流经盘管时，快速吸收卵石与中层沙土中储存的热量，将热能输送至实验楼供热系统，实现稳定的热量输出。这种双向换热机制，让整个装置能灵活响应能源供需变化，适配敦煌极端昼夜温差的气候特征。</w:t>
      </w:r>
    </w:p>
    <w:p w14:paraId="49541BEE">
      <w:pPr>
        <w:numPr>
          <w:ilvl w:val="0"/>
          <w:numId w:val="0"/>
        </w:numPr>
        <w:rPr>
          <w:rFonts w:hint="eastAsia" w:asciiTheme="minorHAnsi" w:hAnsiTheme="minorHAnsi" w:eastAsiaTheme="minorEastAsia" w:cstheme="minorBidi"/>
          <w:sz w:val="36"/>
          <w:szCs w:val="36"/>
          <w:lang w:val="en-US" w:eastAsia="zh-CN"/>
        </w:rPr>
      </w:pPr>
      <w:r>
        <w:rPr>
          <w:rFonts w:hint="eastAsia" w:asciiTheme="minorHAnsi" w:hAnsiTheme="minorHAnsi" w:eastAsiaTheme="minorEastAsia" w:cstheme="minorBidi"/>
          <w:sz w:val="36"/>
          <w:szCs w:val="36"/>
          <w:lang w:val="en-US" w:eastAsia="zh-CN"/>
        </w:rPr>
        <w:t>三、敦煌本土化地下分层蓄热系统传热机理与材料特性分析</w:t>
      </w:r>
    </w:p>
    <w:p w14:paraId="3AC05E9D">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本研究提出了一种基于敦煌地域特征的地下分层蓄热装置，旨在通过本土材料的级联利用解决可再生能源的供需错位问题。该系统在垂直空间上分为三层协同工作：</w:t>
      </w:r>
    </w:p>
    <w:p w14:paraId="00FA8F1F">
      <w:pPr>
        <w:spacing w:line="360" w:lineRule="auto"/>
        <w:ind w:firstLine="480" w:firstLineChars="20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1.底层快速换热层（戈壁卵石与铜管盘管）：</w:t>
      </w:r>
    </w:p>
    <w:p w14:paraId="275142D3">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该层主要负责系统的热量充配。内置的铜管作为初级热交换器，具有极高的导热系数（约为400W/(m·K)）。根据傅里叶导热定律（Fourier's Law），热流密度q与温度梯度∆T及材料导热系数k成正比：</w:t>
      </w:r>
    </w:p>
    <w:p w14:paraId="737D52B8">
      <w:pPr>
        <w:spacing w:line="360" w:lineRule="auto"/>
        <w:ind w:firstLine="480" w:firstLineChars="20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q=-k\∆T</w:t>
      </w:r>
    </w:p>
    <w:p w14:paraId="29DB5FC8">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高导热系数的铜管能将流体携带的热量迅速传递至周围高孔隙率的戈壁卵石基质中，显著降低了系统的热阻，实现了系统在短时间内的快速“充放热”。</w:t>
      </w:r>
    </w:p>
    <w:p w14:paraId="5FF65259">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bCs w:val="0"/>
          <w:sz w:val="24"/>
          <w:szCs w:val="24"/>
        </w:rPr>
        <w:t>2.中层长效蓄热层（改良风积沙土）：</w:t>
      </w:r>
    </w:p>
    <w:p w14:paraId="07C2003E">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作为系统的核心储能单元，该层依托敦煌丰富的风积沙并掺混粘土进行改性，以提升其整体比热容和结构稳定性。蓄热量Q的物理过程遵循显热蓄热基本方程：</w:t>
      </w:r>
    </w:p>
    <w:p w14:paraId="3890112E">
      <w:pPr>
        <w:spacing w:line="360" w:lineRule="auto"/>
        <w:ind w:firstLine="480" w:firstLineChars="20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Q=mc\∆T</w:t>
      </w:r>
    </w:p>
    <w:p w14:paraId="09EFF691">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其中，m为蓄热介质质量，c为材料的比热容，∆T为充放热循环前后的温差。庞大体积的改良沙土提供了巨大的质量基础，配合其较高的比热容，使该层能够以极低的成本吸收并长期储存底层传递的庞大热能，起到平滑热能波动的“热力水库”作用。</w:t>
      </w:r>
    </w:p>
    <w:p w14:paraId="55D2DEE2">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bCs w:val="0"/>
          <w:sz w:val="24"/>
          <w:szCs w:val="24"/>
        </w:rPr>
        <w:t>3.顶层绝热保温层（麦秸秆夯土）：</w:t>
      </w:r>
    </w:p>
    <w:p w14:paraId="15BD6583">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为抑制热量向地表及大气的耗散，系统顶部覆以敦煌传统建筑常用的麦秸秆夯土。麦秸秆的多孔管状结构赋予了该混合层极低的导热率，有效增加了系统向上的热阻，在热力学边界上构筑了一道高效的“保温屏障”，大幅提升了跨季节或长周期蓄热的综合热效率。</w:t>
      </w:r>
    </w:p>
    <w:p w14:paraId="5AA5C704">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该系统在垂直空间上形成多层平壁导热系统。核心计算逻辑遵循“热阻串联”原理，即总热阻等于各分热阻之和。稳态导热下，总热阻是各层热阻的算术和。</w:t>
      </w:r>
    </w:p>
    <w:p w14:paraId="6DE5C831">
      <w:pPr>
        <w:spacing w:line="360" w:lineRule="auto"/>
        <w:ind w:firstLine="480" w:firstLineChars="200"/>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drawing>
          <wp:anchor distT="0" distB="0" distL="114300" distR="114300" simplePos="0" relativeHeight="251659264" behindDoc="0" locked="0" layoutInCell="1" allowOverlap="1">
            <wp:simplePos x="0" y="0"/>
            <wp:positionH relativeFrom="column">
              <wp:posOffset>830580</wp:posOffset>
            </wp:positionH>
            <wp:positionV relativeFrom="paragraph">
              <wp:posOffset>68580</wp:posOffset>
            </wp:positionV>
            <wp:extent cx="3305175" cy="552450"/>
            <wp:effectExtent l="0" t="0" r="1905" b="11430"/>
            <wp:wrapSquare wrapText="bothSides"/>
            <wp:docPr id="9" name="图片 9" descr="zzzz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zzzzzz"/>
                    <pic:cNvPicPr>
                      <a:picLocks noChangeAspect="1"/>
                    </pic:cNvPicPr>
                  </pic:nvPicPr>
                  <pic:blipFill>
                    <a:blip r:embed="rId13"/>
                    <a:stretch>
                      <a:fillRect/>
                    </a:stretch>
                  </pic:blipFill>
                  <pic:spPr>
                    <a:xfrm>
                      <a:off x="0" y="0"/>
                      <a:ext cx="3305175" cy="552450"/>
                    </a:xfrm>
                    <a:prstGeom prst="rect">
                      <a:avLst/>
                    </a:prstGeom>
                  </pic:spPr>
                </pic:pic>
              </a:graphicData>
            </a:graphic>
          </wp:anchor>
        </w:drawing>
      </w:r>
    </w:p>
    <w:p w14:paraId="1E967DE3">
      <w:pPr>
        <w:spacing w:line="360" w:lineRule="auto"/>
        <w:rPr>
          <w:rFonts w:hint="eastAsia" w:asciiTheme="minorEastAsia" w:hAnsiTheme="minorEastAsia" w:eastAsiaTheme="minorEastAsia" w:cstheme="minorEastAsia"/>
          <w:color w:val="auto"/>
          <w:sz w:val="24"/>
          <w:szCs w:val="24"/>
          <w:lang w:val="en-US" w:eastAsia="zh-CN"/>
        </w:rPr>
      </w:pPr>
    </w:p>
    <w:p w14:paraId="68A31FF3">
      <w:pPr>
        <w:spacing w:line="360" w:lineRule="auto"/>
        <w:ind w:firstLine="480" w:firstLineChars="200"/>
        <w:rPr>
          <w:rFonts w:hint="eastAsia" w:asciiTheme="minorEastAsia" w:hAnsiTheme="minorEastAsia" w:eastAsiaTheme="minorEastAsia" w:cstheme="minorEastAsia"/>
          <w:color w:val="auto"/>
          <w:sz w:val="24"/>
          <w:szCs w:val="24"/>
          <w:lang w:val="en-US" w:eastAsia="zh-CN"/>
        </w:rPr>
      </w:pPr>
    </w:p>
    <w:p w14:paraId="3543B73C">
      <w:pPr>
        <w:spacing w:line="360" w:lineRule="auto"/>
        <w:ind w:firstLine="480" w:firstLineChars="200"/>
        <w:rPr>
          <w:rFonts w:hint="eastAsia" w:ascii="宋体" w:hAnsi="宋体" w:eastAsia="宋体" w:cs="宋体"/>
          <w:color w:val="000000"/>
          <w:sz w:val="23"/>
          <w:szCs w:val="23"/>
          <w:lang w:eastAsia="zh-CN"/>
        </w:rPr>
      </w:pPr>
      <w:r>
        <w:rPr>
          <w:rFonts w:hint="eastAsia" w:asciiTheme="minorEastAsia" w:hAnsiTheme="minorEastAsia" w:eastAsiaTheme="minorEastAsia" w:cstheme="minorEastAsia"/>
          <w:color w:val="auto"/>
          <w:sz w:val="24"/>
          <w:szCs w:val="24"/>
          <w:lang w:val="en-US" w:eastAsia="zh-CN"/>
        </w:rPr>
        <w:t>其中，假设平壁由n层材料组成，每层的厚度为</w:t>
      </w:r>
      <w:r>
        <w:rPr>
          <w:rFonts w:ascii="宋体" w:hAnsi="宋体" w:eastAsia="宋体" w:cs="宋体"/>
          <w:color w:val="000000"/>
          <w:sz w:val="23"/>
          <w:szCs w:val="23"/>
        </w:rPr>
        <w:t>δi</w:t>
      </w:r>
      <w:r>
        <w:rPr>
          <w:rFonts w:hint="eastAsia" w:ascii="宋体" w:hAnsi="宋体" w:eastAsia="宋体" w:cs="宋体"/>
          <w:color w:val="000000"/>
          <w:sz w:val="23"/>
          <w:szCs w:val="23"/>
          <w:lang w:eastAsia="zh-CN"/>
        </w:rPr>
        <w:t>，</w:t>
      </w:r>
      <w:r>
        <w:rPr>
          <w:rFonts w:hint="eastAsia" w:ascii="宋体" w:hAnsi="宋体" w:eastAsia="宋体" w:cs="宋体"/>
          <w:color w:val="000000"/>
          <w:sz w:val="23"/>
          <w:szCs w:val="23"/>
          <w:lang w:val="en-US" w:eastAsia="zh-CN"/>
        </w:rPr>
        <w:t>导热系数为</w:t>
      </w:r>
      <w:r>
        <w:rPr>
          <w:rFonts w:ascii="宋体" w:hAnsi="宋体" w:eastAsia="宋体" w:cs="宋体"/>
          <w:color w:val="000000"/>
          <w:sz w:val="23"/>
          <w:szCs w:val="23"/>
        </w:rPr>
        <w:t>λi</w:t>
      </w:r>
      <w:r>
        <w:rPr>
          <w:rFonts w:hint="eastAsia" w:ascii="宋体" w:hAnsi="宋体" w:eastAsia="宋体" w:cs="宋体"/>
          <w:color w:val="000000"/>
          <w:sz w:val="23"/>
          <w:szCs w:val="23"/>
          <w:lang w:eastAsia="zh-CN"/>
        </w:rPr>
        <w:t>。</w:t>
      </w:r>
    </w:p>
    <w:p w14:paraId="7E083654">
      <w:pPr>
        <w:spacing w:line="360" w:lineRule="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而单位时间内通过的总热量的计算遵循以下公式：</w:t>
      </w:r>
    </w:p>
    <w:p w14:paraId="0B8BDC9F">
      <w:pPr>
        <w:spacing w:line="360" w:lineRule="auto"/>
        <w:rPr>
          <w:rFonts w:hint="default" w:ascii="宋体" w:hAnsi="宋体" w:eastAsia="宋体" w:cs="宋体"/>
          <w:color w:val="000000"/>
          <w:sz w:val="23"/>
          <w:szCs w:val="23"/>
          <w:lang w:val="en-US" w:eastAsia="zh-CN"/>
        </w:rPr>
      </w:pPr>
      <w:r>
        <w:rPr>
          <w:rFonts w:hint="default" w:ascii="宋体" w:hAnsi="宋体" w:eastAsia="宋体" w:cs="宋体"/>
          <w:color w:val="000000"/>
          <w:sz w:val="23"/>
          <w:szCs w:val="23"/>
          <w:lang w:val="en-US" w:eastAsia="zh-CN"/>
        </w:rPr>
        <w:drawing>
          <wp:anchor distT="0" distB="0" distL="114300" distR="114300" simplePos="0" relativeHeight="251660288" behindDoc="0" locked="0" layoutInCell="1" allowOverlap="1">
            <wp:simplePos x="0" y="0"/>
            <wp:positionH relativeFrom="column">
              <wp:posOffset>1467485</wp:posOffset>
            </wp:positionH>
            <wp:positionV relativeFrom="paragraph">
              <wp:posOffset>7620</wp:posOffset>
            </wp:positionV>
            <wp:extent cx="2276475" cy="542925"/>
            <wp:effectExtent l="0" t="0" r="9525" b="5715"/>
            <wp:wrapSquare wrapText="bothSides"/>
            <wp:docPr id="10" name="图片 10" descr="QQ截图2026032819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QQ截图20260328191807"/>
                    <pic:cNvPicPr>
                      <a:picLocks noChangeAspect="1"/>
                    </pic:cNvPicPr>
                  </pic:nvPicPr>
                  <pic:blipFill>
                    <a:blip r:embed="rId14"/>
                    <a:stretch>
                      <a:fillRect/>
                    </a:stretch>
                  </pic:blipFill>
                  <pic:spPr>
                    <a:xfrm>
                      <a:off x="0" y="0"/>
                      <a:ext cx="2276475" cy="542925"/>
                    </a:xfrm>
                    <a:prstGeom prst="rect">
                      <a:avLst/>
                    </a:prstGeom>
                  </pic:spPr>
                </pic:pic>
              </a:graphicData>
            </a:graphic>
          </wp:anchor>
        </w:drawing>
      </w:r>
      <w:r>
        <w:rPr>
          <w:rFonts w:hint="eastAsia" w:ascii="宋体" w:hAnsi="宋体" w:eastAsia="宋体" w:cs="宋体"/>
          <w:color w:val="000000"/>
          <w:sz w:val="23"/>
          <w:szCs w:val="23"/>
          <w:lang w:val="en-US" w:eastAsia="zh-CN"/>
        </w:rPr>
        <w:t xml:space="preserve"> </w:t>
      </w:r>
    </w:p>
    <w:p w14:paraId="59D32026">
      <w:pPr>
        <w:spacing w:line="360" w:lineRule="auto"/>
        <w:ind w:firstLine="460" w:firstLineChars="200"/>
        <w:rPr>
          <w:rFonts w:hint="default" w:asciiTheme="minorEastAsia" w:hAnsiTheme="minorEastAsia" w:eastAsiaTheme="minorEastAsia" w:cstheme="minorEastAsia"/>
          <w:color w:val="auto"/>
          <w:sz w:val="24"/>
          <w:szCs w:val="24"/>
          <w:lang w:val="en-US" w:eastAsia="zh-CN"/>
        </w:rPr>
      </w:pPr>
      <w:r>
        <w:rPr>
          <w:rFonts w:ascii="宋体" w:hAnsi="宋体" w:eastAsia="宋体" w:cs="宋体"/>
          <w:color w:val="000000"/>
          <w:sz w:val="23"/>
          <w:szCs w:val="23"/>
        </w:rPr>
        <w:t>​</w:t>
      </w:r>
    </w:p>
    <w:p w14:paraId="36426F7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firstLine="480" w:firstLineChars="200"/>
        <w:jc w:val="left"/>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其中，</w:t>
      </w:r>
      <w:r>
        <w:rPr>
          <w:rFonts w:hint="eastAsia" w:asciiTheme="minorEastAsia" w:hAnsiTheme="minorEastAsia" w:eastAsiaTheme="minorEastAsia" w:cstheme="minorEastAsia"/>
          <w:color w:val="000000"/>
          <w:sz w:val="24"/>
          <w:szCs w:val="24"/>
        </w:rPr>
        <w:t>T1</w:t>
      </w:r>
      <w:r>
        <w:rPr>
          <w:rFonts w:hint="eastAsia" w:asciiTheme="minorEastAsia" w:hAnsiTheme="minorEastAsia" w:eastAsiaTheme="minorEastAsia" w:cstheme="minorEastAsia"/>
          <w:color w:val="000000"/>
          <w:sz w:val="24"/>
          <w:szCs w:val="24"/>
          <w:lang w:val="en-US" w:eastAsia="zh-CN"/>
        </w:rPr>
        <w:t>为</w:t>
      </w:r>
      <w:r>
        <w:rPr>
          <w:rFonts w:hint="eastAsia" w:asciiTheme="minorEastAsia" w:hAnsiTheme="minorEastAsia" w:eastAsiaTheme="minorEastAsia" w:cstheme="minorEastAsia"/>
          <w:color w:val="000000"/>
          <w:sz w:val="24"/>
          <w:szCs w:val="24"/>
        </w:rPr>
        <w:t>第一层最外侧的温度（高温侧）</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color w:val="000000"/>
          <w:sz w:val="24"/>
          <w:szCs w:val="24"/>
        </w:rPr>
        <w:t>Tn+1</w:t>
      </w:r>
      <w:r>
        <w:rPr>
          <w:rFonts w:hint="eastAsia" w:asciiTheme="minorEastAsia" w:hAnsiTheme="minorEastAsia" w:eastAsiaTheme="minorEastAsia" w:cstheme="minorEastAsia"/>
          <w:color w:val="000000"/>
          <w:sz w:val="24"/>
          <w:szCs w:val="24"/>
          <w:lang w:val="en-US" w:eastAsia="zh-CN"/>
        </w:rPr>
        <w:t>为</w:t>
      </w:r>
      <w:r>
        <w:rPr>
          <w:rFonts w:hint="eastAsia" w:asciiTheme="minorEastAsia" w:hAnsiTheme="minorEastAsia" w:eastAsiaTheme="minorEastAsia" w:cstheme="minorEastAsia"/>
          <w:color w:val="000000"/>
          <w:sz w:val="24"/>
          <w:szCs w:val="24"/>
        </w:rPr>
        <w:t>最后一层最外侧的温度（低温侧）。</w:t>
      </w:r>
    </w:p>
    <w:p w14:paraId="2822FA66">
      <w:pPr>
        <w:spacing w:line="360" w:lineRule="auto"/>
        <w:ind w:firstLine="480" w:firstLineChars="200"/>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4.材料性质对比表</w:t>
      </w:r>
    </w:p>
    <w:tbl>
      <w:tblPr>
        <w:tblStyle w:val="10"/>
        <w:tblW w:w="872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67"/>
        <w:gridCol w:w="2035"/>
        <w:gridCol w:w="830"/>
        <w:gridCol w:w="1599"/>
        <w:gridCol w:w="1581"/>
        <w:gridCol w:w="1716"/>
      </w:tblGrid>
      <w:tr w14:paraId="71E4E8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jc w:val="center"/>
        </w:trPr>
        <w:tc>
          <w:tcPr>
            <w:tcW w:w="967" w:type="dxa"/>
            <w:tcBorders>
              <w:top w:val="nil"/>
              <w:left w:val="nil"/>
              <w:bottom w:val="nil"/>
              <w:right w:val="nil"/>
            </w:tcBorders>
            <w:shd w:val="clear" w:color="auto" w:fill="auto"/>
            <w:noWrap/>
            <w:vAlign w:val="center"/>
          </w:tcPr>
          <w:p w14:paraId="799A8E3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i w:val="0"/>
                <w:iCs w:val="0"/>
                <w:color w:val="000000"/>
                <w:sz w:val="22"/>
                <w:szCs w:val="22"/>
                <w:u w:val="none"/>
              </w:rPr>
            </w:pPr>
            <w:r>
              <w:rPr>
                <w:rFonts w:hint="eastAsia" w:ascii="宋体" w:hAnsi="宋体" w:eastAsia="宋体" w:cs="宋体"/>
                <w:b/>
                <w:i w:val="0"/>
                <w:iCs w:val="0"/>
                <w:color w:val="000000"/>
                <w:kern w:val="0"/>
                <w:sz w:val="22"/>
                <w:szCs w:val="22"/>
                <w:u w:val="none"/>
                <w:lang w:val="en-US" w:eastAsia="zh-CN" w:bidi="ar"/>
              </w:rPr>
              <w:t>材料</w:t>
            </w:r>
          </w:p>
        </w:tc>
        <w:tc>
          <w:tcPr>
            <w:tcW w:w="2035" w:type="dxa"/>
            <w:tcBorders>
              <w:top w:val="nil"/>
              <w:left w:val="nil"/>
              <w:bottom w:val="nil"/>
              <w:right w:val="nil"/>
            </w:tcBorders>
            <w:shd w:val="clear" w:color="auto" w:fill="auto"/>
            <w:noWrap/>
            <w:vAlign w:val="center"/>
          </w:tcPr>
          <w:p w14:paraId="3A54A14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i w:val="0"/>
                <w:iCs w:val="0"/>
                <w:color w:val="000000"/>
                <w:sz w:val="22"/>
                <w:szCs w:val="22"/>
                <w:u w:val="none"/>
              </w:rPr>
            </w:pPr>
            <w:r>
              <w:rPr>
                <w:rFonts w:hint="eastAsia" w:ascii="宋体" w:hAnsi="宋体" w:eastAsia="宋体" w:cs="宋体"/>
                <w:b/>
                <w:i w:val="0"/>
                <w:iCs w:val="0"/>
                <w:color w:val="000000"/>
                <w:kern w:val="0"/>
                <w:sz w:val="22"/>
                <w:szCs w:val="22"/>
                <w:u w:val="none"/>
                <w:lang w:val="en-US" w:eastAsia="zh-CN" w:bidi="ar"/>
              </w:rPr>
              <w:t>物理参数(参考值)</w:t>
            </w:r>
          </w:p>
        </w:tc>
        <w:tc>
          <w:tcPr>
            <w:tcW w:w="830" w:type="dxa"/>
            <w:tcBorders>
              <w:top w:val="nil"/>
              <w:left w:val="nil"/>
              <w:bottom w:val="nil"/>
              <w:right w:val="nil"/>
            </w:tcBorders>
            <w:shd w:val="clear" w:color="auto" w:fill="auto"/>
            <w:noWrap/>
            <w:vAlign w:val="center"/>
          </w:tcPr>
          <w:p w14:paraId="42EDF38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i w:val="0"/>
                <w:iCs w:val="0"/>
                <w:color w:val="000000"/>
                <w:sz w:val="22"/>
                <w:szCs w:val="22"/>
                <w:u w:val="none"/>
              </w:rPr>
            </w:pPr>
            <w:r>
              <w:rPr>
                <w:rFonts w:hint="eastAsia" w:ascii="宋体" w:hAnsi="宋体" w:eastAsia="宋体" w:cs="宋体"/>
                <w:b/>
                <w:i w:val="0"/>
                <w:iCs w:val="0"/>
                <w:color w:val="000000"/>
                <w:kern w:val="0"/>
                <w:sz w:val="22"/>
                <w:szCs w:val="22"/>
                <w:u w:val="none"/>
                <w:lang w:val="en-US" w:eastAsia="zh-CN" w:bidi="ar"/>
              </w:rPr>
              <w:t>价格</w:t>
            </w:r>
          </w:p>
        </w:tc>
        <w:tc>
          <w:tcPr>
            <w:tcW w:w="1599" w:type="dxa"/>
            <w:tcBorders>
              <w:top w:val="nil"/>
              <w:left w:val="nil"/>
              <w:bottom w:val="nil"/>
              <w:right w:val="nil"/>
            </w:tcBorders>
            <w:shd w:val="clear" w:color="auto" w:fill="auto"/>
            <w:noWrap/>
            <w:vAlign w:val="center"/>
          </w:tcPr>
          <w:p w14:paraId="05BA039F">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i w:val="0"/>
                <w:iCs w:val="0"/>
                <w:color w:val="000000"/>
                <w:sz w:val="22"/>
                <w:szCs w:val="22"/>
                <w:u w:val="none"/>
              </w:rPr>
            </w:pPr>
            <w:r>
              <w:rPr>
                <w:rFonts w:hint="eastAsia" w:ascii="宋体" w:hAnsi="宋体" w:eastAsia="宋体" w:cs="宋体"/>
                <w:b/>
                <w:i w:val="0"/>
                <w:iCs w:val="0"/>
                <w:color w:val="000000"/>
                <w:kern w:val="0"/>
                <w:sz w:val="22"/>
                <w:szCs w:val="22"/>
                <w:u w:val="none"/>
                <w:lang w:val="en-US" w:eastAsia="zh-CN" w:bidi="ar"/>
              </w:rPr>
              <w:t>开采/加工难度</w:t>
            </w:r>
          </w:p>
        </w:tc>
        <w:tc>
          <w:tcPr>
            <w:tcW w:w="1581" w:type="dxa"/>
            <w:tcBorders>
              <w:top w:val="nil"/>
              <w:left w:val="nil"/>
              <w:bottom w:val="nil"/>
              <w:right w:val="nil"/>
            </w:tcBorders>
            <w:shd w:val="clear" w:color="auto" w:fill="auto"/>
            <w:noWrap/>
            <w:vAlign w:val="center"/>
          </w:tcPr>
          <w:p w14:paraId="3F657A1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i w:val="0"/>
                <w:iCs w:val="0"/>
                <w:color w:val="000000"/>
                <w:sz w:val="22"/>
                <w:szCs w:val="22"/>
                <w:u w:val="none"/>
              </w:rPr>
            </w:pPr>
            <w:r>
              <w:rPr>
                <w:rFonts w:hint="eastAsia" w:ascii="宋体" w:hAnsi="宋体" w:eastAsia="宋体" w:cs="宋体"/>
                <w:b/>
                <w:i w:val="0"/>
                <w:iCs w:val="0"/>
                <w:color w:val="000000"/>
                <w:kern w:val="0"/>
                <w:sz w:val="22"/>
                <w:szCs w:val="22"/>
                <w:u w:val="none"/>
                <w:lang w:val="en-US" w:eastAsia="zh-CN" w:bidi="ar"/>
              </w:rPr>
              <w:t>保温/储热性能</w:t>
            </w:r>
          </w:p>
        </w:tc>
        <w:tc>
          <w:tcPr>
            <w:tcW w:w="1716" w:type="dxa"/>
            <w:tcBorders>
              <w:top w:val="nil"/>
              <w:left w:val="nil"/>
              <w:bottom w:val="nil"/>
              <w:right w:val="nil"/>
            </w:tcBorders>
            <w:shd w:val="clear" w:color="auto" w:fill="auto"/>
            <w:noWrap/>
            <w:vAlign w:val="center"/>
          </w:tcPr>
          <w:p w14:paraId="7C5298F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i w:val="0"/>
                <w:iCs w:val="0"/>
                <w:color w:val="000000"/>
                <w:sz w:val="22"/>
                <w:szCs w:val="22"/>
                <w:u w:val="none"/>
              </w:rPr>
            </w:pPr>
            <w:r>
              <w:rPr>
                <w:rFonts w:hint="eastAsia" w:ascii="宋体" w:hAnsi="宋体" w:eastAsia="宋体" w:cs="宋体"/>
                <w:b/>
                <w:i w:val="0"/>
                <w:iCs w:val="0"/>
                <w:color w:val="000000"/>
                <w:kern w:val="0"/>
                <w:sz w:val="22"/>
                <w:szCs w:val="22"/>
                <w:u w:val="none"/>
                <w:lang w:val="en-US" w:eastAsia="zh-CN" w:bidi="ar"/>
              </w:rPr>
              <w:t>性质与应用</w:t>
            </w:r>
          </w:p>
        </w:tc>
      </w:tr>
      <w:tr w14:paraId="5761B8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967" w:type="dxa"/>
            <w:tcBorders>
              <w:top w:val="nil"/>
              <w:left w:val="nil"/>
              <w:bottom w:val="nil"/>
              <w:right w:val="nil"/>
            </w:tcBorders>
            <w:shd w:val="clear" w:color="auto" w:fill="auto"/>
            <w:noWrap/>
            <w:vAlign w:val="center"/>
          </w:tcPr>
          <w:p w14:paraId="4A6FC7C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戈壁卵石</w:t>
            </w:r>
          </w:p>
        </w:tc>
        <w:tc>
          <w:tcPr>
            <w:tcW w:w="2035" w:type="dxa"/>
            <w:tcBorders>
              <w:top w:val="nil"/>
              <w:left w:val="nil"/>
              <w:bottom w:val="nil"/>
              <w:right w:val="nil"/>
            </w:tcBorders>
            <w:shd w:val="clear" w:color="auto" w:fill="auto"/>
            <w:noWrap/>
            <w:vAlign w:val="center"/>
          </w:tcPr>
          <w:p w14:paraId="35DAEE21">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密度：1600-1800 kg/m³比热容：0.8-0.9 kJ/(kg·K)导热系数：1.5-2.0 W/(m·K)</w:t>
            </w:r>
          </w:p>
        </w:tc>
        <w:tc>
          <w:tcPr>
            <w:tcW w:w="830" w:type="dxa"/>
            <w:tcBorders>
              <w:top w:val="nil"/>
              <w:left w:val="nil"/>
              <w:bottom w:val="nil"/>
              <w:right w:val="nil"/>
            </w:tcBorders>
            <w:shd w:val="clear" w:color="auto" w:fill="auto"/>
            <w:noWrap/>
            <w:vAlign w:val="center"/>
          </w:tcPr>
          <w:p w14:paraId="44790DA1">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低廉</w:t>
            </w:r>
          </w:p>
        </w:tc>
        <w:tc>
          <w:tcPr>
            <w:tcW w:w="1599" w:type="dxa"/>
            <w:tcBorders>
              <w:top w:val="nil"/>
              <w:left w:val="nil"/>
              <w:bottom w:val="nil"/>
              <w:right w:val="nil"/>
            </w:tcBorders>
            <w:shd w:val="clear" w:color="auto" w:fill="auto"/>
            <w:noWrap/>
            <w:vAlign w:val="center"/>
          </w:tcPr>
          <w:p w14:paraId="0F9D2FFE">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极低，主要为筛分、清洗</w:t>
            </w:r>
          </w:p>
        </w:tc>
        <w:tc>
          <w:tcPr>
            <w:tcW w:w="1581" w:type="dxa"/>
            <w:tcBorders>
              <w:top w:val="nil"/>
              <w:left w:val="nil"/>
              <w:bottom w:val="nil"/>
              <w:right w:val="nil"/>
            </w:tcBorders>
            <w:shd w:val="clear" w:color="auto" w:fill="auto"/>
            <w:noWrap/>
            <w:vAlign w:val="center"/>
          </w:tcPr>
          <w:p w14:paraId="20437A45">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储热性好，保温性差（热惰性大）</w:t>
            </w:r>
          </w:p>
        </w:tc>
        <w:tc>
          <w:tcPr>
            <w:tcW w:w="1716" w:type="dxa"/>
            <w:tcBorders>
              <w:top w:val="nil"/>
              <w:left w:val="nil"/>
              <w:bottom w:val="nil"/>
              <w:right w:val="nil"/>
            </w:tcBorders>
            <w:shd w:val="clear" w:color="auto" w:fill="auto"/>
            <w:noWrap/>
            <w:vAlign w:val="center"/>
          </w:tcPr>
          <w:p w14:paraId="04E55EE1">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化学性质稳定，耐压强度高，形状不规则；用于卵石床显热储热、基础回填</w:t>
            </w:r>
          </w:p>
        </w:tc>
      </w:tr>
      <w:tr w14:paraId="2830CD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967" w:type="dxa"/>
            <w:tcBorders>
              <w:top w:val="nil"/>
              <w:left w:val="nil"/>
              <w:bottom w:val="nil"/>
              <w:right w:val="nil"/>
            </w:tcBorders>
            <w:shd w:val="clear" w:color="auto" w:fill="auto"/>
            <w:noWrap/>
            <w:vAlign w:val="center"/>
          </w:tcPr>
          <w:p w14:paraId="6277194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黄铜管</w:t>
            </w:r>
          </w:p>
        </w:tc>
        <w:tc>
          <w:tcPr>
            <w:tcW w:w="2035" w:type="dxa"/>
            <w:tcBorders>
              <w:top w:val="nil"/>
              <w:left w:val="nil"/>
              <w:bottom w:val="nil"/>
              <w:right w:val="nil"/>
            </w:tcBorders>
            <w:shd w:val="clear" w:color="auto" w:fill="auto"/>
            <w:noWrap/>
            <w:vAlign w:val="center"/>
          </w:tcPr>
          <w:p w14:paraId="168BB127">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密度：8500 kg/m³导热系数：100-120 W/(m·K)热膨胀系数：较高</w:t>
            </w:r>
          </w:p>
        </w:tc>
        <w:tc>
          <w:tcPr>
            <w:tcW w:w="830" w:type="dxa"/>
            <w:tcBorders>
              <w:top w:val="nil"/>
              <w:left w:val="nil"/>
              <w:bottom w:val="nil"/>
              <w:right w:val="nil"/>
            </w:tcBorders>
            <w:shd w:val="clear" w:color="auto" w:fill="auto"/>
            <w:noWrap/>
            <w:vAlign w:val="center"/>
          </w:tcPr>
          <w:p w14:paraId="782ADCD4">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昂贵</w:t>
            </w:r>
          </w:p>
        </w:tc>
        <w:tc>
          <w:tcPr>
            <w:tcW w:w="1599" w:type="dxa"/>
            <w:tcBorders>
              <w:top w:val="nil"/>
              <w:left w:val="nil"/>
              <w:bottom w:val="nil"/>
              <w:right w:val="nil"/>
            </w:tcBorders>
            <w:shd w:val="clear" w:color="auto" w:fill="auto"/>
            <w:noWrap/>
            <w:vAlign w:val="center"/>
          </w:tcPr>
          <w:p w14:paraId="7F40F12C">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高，需冶炼、轧制、焊接工艺</w:t>
            </w:r>
          </w:p>
        </w:tc>
        <w:tc>
          <w:tcPr>
            <w:tcW w:w="1581" w:type="dxa"/>
            <w:tcBorders>
              <w:top w:val="nil"/>
              <w:left w:val="nil"/>
              <w:bottom w:val="nil"/>
              <w:right w:val="nil"/>
            </w:tcBorders>
            <w:shd w:val="clear" w:color="auto" w:fill="auto"/>
            <w:noWrap/>
            <w:vAlign w:val="center"/>
          </w:tcPr>
          <w:p w14:paraId="4F83C9C7">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导热极强，储热体积极小（仅换热）</w:t>
            </w:r>
          </w:p>
        </w:tc>
        <w:tc>
          <w:tcPr>
            <w:tcW w:w="1716" w:type="dxa"/>
            <w:tcBorders>
              <w:top w:val="nil"/>
              <w:left w:val="nil"/>
              <w:bottom w:val="nil"/>
              <w:right w:val="nil"/>
            </w:tcBorders>
            <w:shd w:val="clear" w:color="auto" w:fill="auto"/>
            <w:noWrap/>
            <w:vAlign w:val="center"/>
          </w:tcPr>
          <w:p w14:paraId="2AE6C7B3">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耐腐蚀性较好，延展性好，易加工，价格波动大；用于换热器、冷媒管、高压管路</w:t>
            </w:r>
          </w:p>
        </w:tc>
      </w:tr>
      <w:tr w14:paraId="743AE9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967" w:type="dxa"/>
            <w:tcBorders>
              <w:top w:val="nil"/>
              <w:left w:val="nil"/>
              <w:bottom w:val="nil"/>
              <w:right w:val="nil"/>
            </w:tcBorders>
            <w:shd w:val="clear" w:color="auto" w:fill="auto"/>
            <w:noWrap/>
            <w:vAlign w:val="center"/>
          </w:tcPr>
          <w:p w14:paraId="08F7A03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风积沙</w:t>
            </w:r>
          </w:p>
        </w:tc>
        <w:tc>
          <w:tcPr>
            <w:tcW w:w="2035" w:type="dxa"/>
            <w:tcBorders>
              <w:top w:val="nil"/>
              <w:left w:val="nil"/>
              <w:bottom w:val="nil"/>
              <w:right w:val="nil"/>
            </w:tcBorders>
            <w:shd w:val="clear" w:color="auto" w:fill="auto"/>
            <w:noWrap/>
            <w:vAlign w:val="center"/>
          </w:tcPr>
          <w:p w14:paraId="14475A45">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密度：1400-1600 kg/m³粒径：0.1-0.25 mm导热系数：0.3-0.5 W/(m·K)</w:t>
            </w:r>
          </w:p>
        </w:tc>
        <w:tc>
          <w:tcPr>
            <w:tcW w:w="830" w:type="dxa"/>
            <w:tcBorders>
              <w:top w:val="nil"/>
              <w:left w:val="nil"/>
              <w:bottom w:val="nil"/>
              <w:right w:val="nil"/>
            </w:tcBorders>
            <w:shd w:val="clear" w:color="auto" w:fill="auto"/>
            <w:noWrap/>
            <w:vAlign w:val="center"/>
          </w:tcPr>
          <w:p w14:paraId="4B4E92DF">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低廉</w:t>
            </w:r>
          </w:p>
        </w:tc>
        <w:tc>
          <w:tcPr>
            <w:tcW w:w="1599" w:type="dxa"/>
            <w:tcBorders>
              <w:top w:val="nil"/>
              <w:left w:val="nil"/>
              <w:bottom w:val="nil"/>
              <w:right w:val="nil"/>
            </w:tcBorders>
            <w:shd w:val="clear" w:color="auto" w:fill="auto"/>
            <w:noWrap/>
            <w:vAlign w:val="center"/>
          </w:tcPr>
          <w:p w14:paraId="0F1B93D6">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极低，直接采集筛选</w:t>
            </w:r>
          </w:p>
        </w:tc>
        <w:tc>
          <w:tcPr>
            <w:tcW w:w="1581" w:type="dxa"/>
            <w:tcBorders>
              <w:top w:val="nil"/>
              <w:left w:val="nil"/>
              <w:bottom w:val="nil"/>
              <w:right w:val="nil"/>
            </w:tcBorders>
            <w:shd w:val="clear" w:color="auto" w:fill="auto"/>
            <w:noWrap/>
            <w:vAlign w:val="center"/>
          </w:tcPr>
          <w:p w14:paraId="15CB1B8A">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储热一般，保温性差</w:t>
            </w:r>
          </w:p>
        </w:tc>
        <w:tc>
          <w:tcPr>
            <w:tcW w:w="1716" w:type="dxa"/>
            <w:tcBorders>
              <w:top w:val="nil"/>
              <w:left w:val="nil"/>
              <w:bottom w:val="nil"/>
              <w:right w:val="nil"/>
            </w:tcBorders>
            <w:shd w:val="clear" w:color="auto" w:fill="auto"/>
            <w:noWrap/>
            <w:vAlign w:val="center"/>
          </w:tcPr>
          <w:p w14:paraId="59A85970">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颗粒细小，流动性好，亲水性强，易扬尘；用于储热填料、工程回填、光伏支架回填</w:t>
            </w:r>
          </w:p>
        </w:tc>
      </w:tr>
      <w:tr w14:paraId="171314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967" w:type="dxa"/>
            <w:tcBorders>
              <w:top w:val="nil"/>
              <w:left w:val="nil"/>
              <w:bottom w:val="nil"/>
              <w:right w:val="nil"/>
            </w:tcBorders>
            <w:shd w:val="clear" w:color="auto" w:fill="auto"/>
            <w:noWrap/>
            <w:vAlign w:val="center"/>
          </w:tcPr>
          <w:p w14:paraId="6CD636F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麦秸杆</w:t>
            </w:r>
          </w:p>
        </w:tc>
        <w:tc>
          <w:tcPr>
            <w:tcW w:w="2035" w:type="dxa"/>
            <w:tcBorders>
              <w:top w:val="nil"/>
              <w:left w:val="nil"/>
              <w:bottom w:val="nil"/>
              <w:right w:val="nil"/>
            </w:tcBorders>
            <w:shd w:val="clear" w:color="auto" w:fill="auto"/>
            <w:noWrap/>
            <w:vAlign w:val="center"/>
          </w:tcPr>
          <w:p w14:paraId="187064D9">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密度：100-200 kg/m³导热系数：0.05-0.09 W/(m·K)比热容：1.2-1.5 kJ/(kg·K)</w:t>
            </w:r>
          </w:p>
        </w:tc>
        <w:tc>
          <w:tcPr>
            <w:tcW w:w="830" w:type="dxa"/>
            <w:tcBorders>
              <w:top w:val="nil"/>
              <w:left w:val="nil"/>
              <w:bottom w:val="nil"/>
              <w:right w:val="nil"/>
            </w:tcBorders>
            <w:shd w:val="clear" w:color="auto" w:fill="auto"/>
            <w:noWrap/>
            <w:vAlign w:val="center"/>
          </w:tcPr>
          <w:p w14:paraId="7E426DCB">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低廉</w:t>
            </w:r>
          </w:p>
        </w:tc>
        <w:tc>
          <w:tcPr>
            <w:tcW w:w="1599" w:type="dxa"/>
            <w:tcBorders>
              <w:top w:val="nil"/>
              <w:left w:val="nil"/>
              <w:bottom w:val="nil"/>
              <w:right w:val="nil"/>
            </w:tcBorders>
            <w:shd w:val="clear" w:color="auto" w:fill="auto"/>
            <w:noWrap/>
            <w:vAlign w:val="center"/>
          </w:tcPr>
          <w:p w14:paraId="06AFA7FE">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低，需干燥、压实、防腐处理</w:t>
            </w:r>
          </w:p>
        </w:tc>
        <w:tc>
          <w:tcPr>
            <w:tcW w:w="1581" w:type="dxa"/>
            <w:tcBorders>
              <w:top w:val="nil"/>
              <w:left w:val="nil"/>
              <w:bottom w:val="nil"/>
              <w:right w:val="nil"/>
            </w:tcBorders>
            <w:shd w:val="clear" w:color="auto" w:fill="auto"/>
            <w:noWrap/>
            <w:vAlign w:val="center"/>
          </w:tcPr>
          <w:p w14:paraId="0B562644">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保温优异，储热性差</w:t>
            </w:r>
          </w:p>
        </w:tc>
        <w:tc>
          <w:tcPr>
            <w:tcW w:w="1716" w:type="dxa"/>
            <w:tcBorders>
              <w:top w:val="nil"/>
              <w:left w:val="nil"/>
              <w:bottom w:val="nil"/>
              <w:right w:val="nil"/>
            </w:tcBorders>
            <w:shd w:val="clear" w:color="auto" w:fill="auto"/>
            <w:noWrap/>
            <w:vAlign w:val="center"/>
          </w:tcPr>
          <w:p w14:paraId="6F2B5308">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可再生，易吸湿霉变，易燃，耐久性差；用于生态保温围护、农业温室保温</w:t>
            </w:r>
          </w:p>
        </w:tc>
      </w:tr>
      <w:tr w14:paraId="44E6A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967" w:type="dxa"/>
            <w:tcBorders>
              <w:top w:val="nil"/>
              <w:left w:val="nil"/>
              <w:bottom w:val="nil"/>
              <w:right w:val="nil"/>
            </w:tcBorders>
            <w:shd w:val="clear" w:color="auto" w:fill="auto"/>
            <w:noWrap/>
            <w:vAlign w:val="center"/>
          </w:tcPr>
          <w:p w14:paraId="2AB8DB3E">
            <w:pPr>
              <w:keepNext w:val="0"/>
              <w:keepLines w:val="0"/>
              <w:widowControl/>
              <w:suppressLineNumbers w:val="0"/>
              <w:snapToGrid w:val="0"/>
              <w:ind w:left="0" w:leftChars="0" w:right="0" w:rightChars="0" w:firstLine="0" w:firstLineChars="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混凝土(常见储热材料）</w:t>
            </w:r>
          </w:p>
        </w:tc>
        <w:tc>
          <w:tcPr>
            <w:tcW w:w="2035" w:type="dxa"/>
            <w:tcBorders>
              <w:top w:val="nil"/>
              <w:left w:val="nil"/>
              <w:bottom w:val="nil"/>
              <w:right w:val="nil"/>
            </w:tcBorders>
            <w:shd w:val="clear" w:color="auto" w:fill="auto"/>
            <w:noWrap/>
            <w:vAlign w:val="center"/>
          </w:tcPr>
          <w:p w14:paraId="451E3DE5">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密度：2100-2500 kg/m³导热系数：1.2-1.8 W/(m·K)比热容：0.88-1.0 kJ/(kg·K)</w:t>
            </w:r>
          </w:p>
        </w:tc>
        <w:tc>
          <w:tcPr>
            <w:tcW w:w="830" w:type="dxa"/>
            <w:tcBorders>
              <w:top w:val="nil"/>
              <w:left w:val="nil"/>
              <w:bottom w:val="nil"/>
              <w:right w:val="nil"/>
            </w:tcBorders>
            <w:shd w:val="clear" w:color="auto" w:fill="auto"/>
            <w:noWrap/>
            <w:vAlign w:val="center"/>
          </w:tcPr>
          <w:p w14:paraId="073B5E1E">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适中</w:t>
            </w:r>
          </w:p>
        </w:tc>
        <w:tc>
          <w:tcPr>
            <w:tcW w:w="1599" w:type="dxa"/>
            <w:tcBorders>
              <w:top w:val="nil"/>
              <w:left w:val="nil"/>
              <w:bottom w:val="nil"/>
              <w:right w:val="nil"/>
            </w:tcBorders>
            <w:shd w:val="clear" w:color="auto" w:fill="auto"/>
            <w:noWrap/>
            <w:vAlign w:val="center"/>
          </w:tcPr>
          <w:p w14:paraId="2228B157">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中等，需搅拌、浇筑、养护</w:t>
            </w:r>
          </w:p>
        </w:tc>
        <w:tc>
          <w:tcPr>
            <w:tcW w:w="1581" w:type="dxa"/>
            <w:tcBorders>
              <w:top w:val="nil"/>
              <w:left w:val="nil"/>
              <w:bottom w:val="nil"/>
              <w:right w:val="nil"/>
            </w:tcBorders>
            <w:shd w:val="clear" w:color="auto" w:fill="auto"/>
            <w:noWrap/>
            <w:vAlign w:val="center"/>
          </w:tcPr>
          <w:p w14:paraId="154FFC59">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储热优良，具热惰性，保温性差</w:t>
            </w:r>
          </w:p>
        </w:tc>
        <w:tc>
          <w:tcPr>
            <w:tcW w:w="1716" w:type="dxa"/>
            <w:tcBorders>
              <w:top w:val="nil"/>
              <w:left w:val="nil"/>
              <w:bottom w:val="nil"/>
              <w:right w:val="nil"/>
            </w:tcBorders>
            <w:shd w:val="clear" w:color="auto" w:fill="auto"/>
            <w:noWrap/>
            <w:vAlign w:val="center"/>
          </w:tcPr>
          <w:p w14:paraId="36DE9D42">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抗压强度高，可塑性好，易开裂（需配筋）；用于显热储热体、地面辐射供暖基层、建筑围护</w:t>
            </w:r>
          </w:p>
        </w:tc>
      </w:tr>
      <w:tr w14:paraId="026D2E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967" w:type="dxa"/>
            <w:tcBorders>
              <w:top w:val="nil"/>
              <w:left w:val="nil"/>
              <w:bottom w:val="nil"/>
              <w:right w:val="nil"/>
            </w:tcBorders>
            <w:shd w:val="clear" w:color="auto" w:fill="auto"/>
            <w:noWrap/>
            <w:vAlign w:val="center"/>
          </w:tcPr>
          <w:p w14:paraId="2CB4C1C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塑胶(常见保温材料)</w:t>
            </w:r>
          </w:p>
        </w:tc>
        <w:tc>
          <w:tcPr>
            <w:tcW w:w="2035" w:type="dxa"/>
            <w:tcBorders>
              <w:top w:val="nil"/>
              <w:left w:val="nil"/>
              <w:bottom w:val="nil"/>
              <w:right w:val="nil"/>
            </w:tcBorders>
            <w:shd w:val="clear" w:color="auto" w:fill="auto"/>
            <w:noWrap/>
            <w:vAlign w:val="center"/>
          </w:tcPr>
          <w:p w14:paraId="134E8A4D">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密度：900-1400 kg/m³导热系数：0.2-0.3 W/(m·K)耐温范围：&lt; 80℃</w:t>
            </w:r>
          </w:p>
        </w:tc>
        <w:tc>
          <w:tcPr>
            <w:tcW w:w="830" w:type="dxa"/>
            <w:tcBorders>
              <w:top w:val="nil"/>
              <w:left w:val="nil"/>
              <w:bottom w:val="nil"/>
              <w:right w:val="nil"/>
            </w:tcBorders>
            <w:shd w:val="clear" w:color="auto" w:fill="auto"/>
            <w:noWrap/>
            <w:vAlign w:val="center"/>
          </w:tcPr>
          <w:p w14:paraId="1658EACB">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适中 </w:t>
            </w:r>
          </w:p>
        </w:tc>
        <w:tc>
          <w:tcPr>
            <w:tcW w:w="1599" w:type="dxa"/>
            <w:tcBorders>
              <w:top w:val="nil"/>
              <w:left w:val="nil"/>
              <w:bottom w:val="nil"/>
              <w:right w:val="nil"/>
            </w:tcBorders>
            <w:shd w:val="clear" w:color="auto" w:fill="auto"/>
            <w:noWrap/>
            <w:vAlign w:val="center"/>
          </w:tcPr>
          <w:p w14:paraId="51A2125A">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中等，需石化合成、挤出/注塑</w:t>
            </w:r>
          </w:p>
        </w:tc>
        <w:tc>
          <w:tcPr>
            <w:tcW w:w="1581" w:type="dxa"/>
            <w:tcBorders>
              <w:top w:val="nil"/>
              <w:left w:val="nil"/>
              <w:bottom w:val="nil"/>
              <w:right w:val="nil"/>
            </w:tcBorders>
            <w:shd w:val="clear" w:color="auto" w:fill="auto"/>
            <w:noWrap/>
            <w:vAlign w:val="center"/>
          </w:tcPr>
          <w:p w14:paraId="3D0B1B6E">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保温较好，储热性差，热容小</w:t>
            </w:r>
          </w:p>
        </w:tc>
        <w:tc>
          <w:tcPr>
            <w:tcW w:w="1716" w:type="dxa"/>
            <w:tcBorders>
              <w:top w:val="nil"/>
              <w:left w:val="nil"/>
              <w:bottom w:val="nil"/>
              <w:right w:val="nil"/>
            </w:tcBorders>
            <w:shd w:val="clear" w:color="auto" w:fill="auto"/>
            <w:noWrap/>
            <w:vAlign w:val="center"/>
          </w:tcPr>
          <w:p w14:paraId="440F38E3">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耐腐蚀性强，重量轻，易老化、耐高温差；用于空调水管/冷媒管保温、风管外壳、设备护套</w:t>
            </w:r>
          </w:p>
        </w:tc>
      </w:tr>
      <w:tr w14:paraId="75CD15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967" w:type="dxa"/>
            <w:tcBorders>
              <w:top w:val="nil"/>
              <w:left w:val="nil"/>
              <w:bottom w:val="nil"/>
              <w:right w:val="nil"/>
            </w:tcBorders>
            <w:shd w:val="clear" w:color="auto" w:fill="auto"/>
            <w:noWrap/>
            <w:vAlign w:val="center"/>
          </w:tcPr>
          <w:p w14:paraId="3F3CB89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035" w:type="dxa"/>
            <w:tcBorders>
              <w:top w:val="nil"/>
              <w:left w:val="nil"/>
              <w:bottom w:val="nil"/>
              <w:right w:val="nil"/>
            </w:tcBorders>
            <w:shd w:val="clear" w:color="auto" w:fill="auto"/>
            <w:noWrap/>
            <w:vAlign w:val="center"/>
          </w:tcPr>
          <w:p w14:paraId="7F5BDC1D">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830" w:type="dxa"/>
            <w:tcBorders>
              <w:top w:val="nil"/>
              <w:left w:val="nil"/>
              <w:bottom w:val="nil"/>
              <w:right w:val="nil"/>
            </w:tcBorders>
            <w:shd w:val="clear" w:color="auto" w:fill="auto"/>
            <w:noWrap/>
            <w:vAlign w:val="center"/>
          </w:tcPr>
          <w:p w14:paraId="7A90B2CA">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1599" w:type="dxa"/>
            <w:tcBorders>
              <w:top w:val="nil"/>
              <w:left w:val="nil"/>
              <w:bottom w:val="nil"/>
              <w:right w:val="nil"/>
            </w:tcBorders>
            <w:shd w:val="clear" w:color="auto" w:fill="auto"/>
            <w:noWrap/>
            <w:vAlign w:val="center"/>
          </w:tcPr>
          <w:p w14:paraId="29B4B1C6">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kern w:val="0"/>
                <w:sz w:val="22"/>
                <w:szCs w:val="22"/>
                <w:u w:val="none"/>
                <w:lang w:val="en-US" w:eastAsia="zh-CN" w:bidi="ar"/>
              </w:rPr>
            </w:pPr>
          </w:p>
        </w:tc>
        <w:tc>
          <w:tcPr>
            <w:tcW w:w="1581" w:type="dxa"/>
            <w:tcBorders>
              <w:top w:val="nil"/>
              <w:left w:val="nil"/>
              <w:bottom w:val="nil"/>
              <w:right w:val="nil"/>
            </w:tcBorders>
            <w:shd w:val="clear" w:color="auto" w:fill="auto"/>
            <w:noWrap/>
            <w:vAlign w:val="center"/>
          </w:tcPr>
          <w:p w14:paraId="53E19EA6">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p>
        </w:tc>
        <w:tc>
          <w:tcPr>
            <w:tcW w:w="1716" w:type="dxa"/>
            <w:tcBorders>
              <w:top w:val="nil"/>
              <w:left w:val="nil"/>
              <w:bottom w:val="nil"/>
              <w:right w:val="nil"/>
            </w:tcBorders>
            <w:shd w:val="clear" w:color="auto" w:fill="auto"/>
            <w:noWrap/>
            <w:vAlign w:val="center"/>
          </w:tcPr>
          <w:p w14:paraId="69B61C2C">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p>
        </w:tc>
      </w:tr>
    </w:tbl>
    <w:p w14:paraId="3DEAAE0B">
      <w:pPr>
        <w:spacing w:line="360" w:lineRule="auto"/>
        <w:rPr>
          <w:rFonts w:hint="default" w:asciiTheme="minorEastAsia" w:hAnsiTheme="minorEastAsia" w:eastAsiaTheme="minorEastAsia" w:cstheme="minorEastAsia"/>
          <w:color w:val="FF0000"/>
          <w:sz w:val="24"/>
          <w:szCs w:val="24"/>
          <w:lang w:val="en-US" w:eastAsia="zh-CN"/>
        </w:rPr>
      </w:pPr>
    </w:p>
    <w:p w14:paraId="3B02FDCA">
      <w:pPr>
        <w:numPr>
          <w:ilvl w:val="0"/>
          <w:numId w:val="0"/>
        </w:numPr>
        <w:rPr>
          <w:rFonts w:hint="eastAsia" w:asciiTheme="minorEastAsia" w:hAnsiTheme="minorEastAsia" w:eastAsiaTheme="minorEastAsia" w:cstheme="minorEastAsia"/>
          <w:b w:val="0"/>
          <w:bCs w:val="0"/>
          <w:kern w:val="36"/>
          <w:sz w:val="36"/>
          <w:szCs w:val="36"/>
        </w:rPr>
      </w:pPr>
      <w:r>
        <w:rPr>
          <w:rFonts w:hint="eastAsia" w:asciiTheme="minorHAnsi" w:hAnsiTheme="minorHAnsi" w:eastAsiaTheme="minorEastAsia" w:cstheme="minorBidi"/>
          <w:sz w:val="36"/>
          <w:szCs w:val="36"/>
          <w:lang w:val="en-US" w:eastAsia="zh-CN"/>
        </w:rPr>
        <w:t>四、敦煌阳关镇分层蓄热装置原材料就近取材地点及合理性分析</w:t>
      </w:r>
    </w:p>
    <w:p w14:paraId="3378B3ED">
      <w:pPr>
        <w:widowControl/>
        <w:numPr>
          <w:ilvl w:val="0"/>
          <w:numId w:val="0"/>
        </w:numPr>
        <w:spacing w:line="360" w:lineRule="auto"/>
        <w:jc w:val="left"/>
        <w:outlineLvl w:val="0"/>
        <w:rPr>
          <w:rFonts w:hint="eastAsia" w:asciiTheme="minorEastAsia" w:hAnsiTheme="minorEastAsia" w:eastAsiaTheme="minorEastAsia" w:cstheme="minorEastAsia"/>
          <w:kern w:val="36"/>
          <w:sz w:val="24"/>
          <w:szCs w:val="24"/>
          <w:lang w:eastAsia="zh-CN"/>
        </w:rPr>
      </w:pPr>
      <w:r>
        <w:rPr>
          <w:rFonts w:hint="eastAsia" w:asciiTheme="minorEastAsia" w:hAnsiTheme="minorEastAsia" w:eastAsiaTheme="minorEastAsia" w:cstheme="minorEastAsia"/>
          <w:kern w:val="36"/>
          <w:sz w:val="24"/>
          <w:szCs w:val="24"/>
          <w:lang w:eastAsia="zh-CN"/>
        </w:rPr>
        <w:drawing>
          <wp:inline distT="0" distB="0" distL="114300" distR="114300">
            <wp:extent cx="5270500" cy="3678555"/>
            <wp:effectExtent l="0" t="0" r="2540" b="9525"/>
            <wp:docPr id="8" name="图片 8" descr="C:/Users/20568/Desktop/llllllll.jpgllllll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20568/Desktop/llllllll.jpgllllllll"/>
                    <pic:cNvPicPr>
                      <a:picLocks noChangeAspect="1"/>
                    </pic:cNvPicPr>
                  </pic:nvPicPr>
                  <pic:blipFill>
                    <a:blip r:embed="rId15"/>
                    <a:srcRect l="121" r="121"/>
                    <a:stretch>
                      <a:fillRect/>
                    </a:stretch>
                  </pic:blipFill>
                  <pic:spPr>
                    <a:xfrm>
                      <a:off x="0" y="0"/>
                      <a:ext cx="5270500" cy="3678555"/>
                    </a:xfrm>
                    <a:prstGeom prst="rect">
                      <a:avLst/>
                    </a:prstGeom>
                  </pic:spPr>
                </pic:pic>
              </a:graphicData>
            </a:graphic>
          </wp:inline>
        </w:drawing>
      </w:r>
    </w:p>
    <w:p w14:paraId="7CCEEFB8">
      <w:pPr>
        <w:widowControl/>
        <w:spacing w:line="360" w:lineRule="auto"/>
        <w:ind w:firstLine="480" w:firstLineChars="200"/>
        <w:jc w:val="left"/>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kern w:val="0"/>
          <w:sz w:val="24"/>
          <w:szCs w:val="24"/>
        </w:rPr>
        <w:t>基于阳关镇及周边地域资源分布特征，结合历史营造技艺与现代产业基础，以下为分层蓄热装置核心原材料的就近取材地点及科学合理性说明，所有材料均能在30公里辐射范围内获取，完全契合“</w:t>
      </w:r>
      <w:r>
        <w:rPr>
          <w:rFonts w:hint="eastAsia" w:asciiTheme="minorEastAsia" w:hAnsiTheme="minorEastAsia" w:eastAsiaTheme="minorEastAsia" w:cstheme="minorEastAsia"/>
          <w:color w:val="auto"/>
          <w:kern w:val="0"/>
          <w:sz w:val="24"/>
          <w:szCs w:val="24"/>
        </w:rPr>
        <w:t>本土化、低成本、可持续”的绿建理念：</w:t>
      </w:r>
    </w:p>
    <w:p w14:paraId="29CF4EAC">
      <w:pPr>
        <w:widowControl/>
        <w:spacing w:line="360" w:lineRule="auto"/>
        <w:ind w:firstLine="480" w:firstLineChars="200"/>
        <w:jc w:val="left"/>
        <w:outlineLvl w:val="1"/>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b w:val="0"/>
          <w:bCs w:val="0"/>
          <w:kern w:val="0"/>
          <w:sz w:val="24"/>
          <w:szCs w:val="24"/>
          <w:lang w:val="en-US" w:eastAsia="zh-CN"/>
        </w:rPr>
        <w:t>1.</w:t>
      </w:r>
      <w:r>
        <w:rPr>
          <w:rFonts w:hint="eastAsia" w:asciiTheme="minorEastAsia" w:hAnsiTheme="minorEastAsia" w:eastAsiaTheme="minorEastAsia" w:cstheme="minorEastAsia"/>
          <w:b w:val="0"/>
          <w:bCs w:val="0"/>
          <w:kern w:val="0"/>
          <w:sz w:val="24"/>
          <w:szCs w:val="24"/>
        </w:rPr>
        <w:t>戈壁卵石</w:t>
      </w:r>
    </w:p>
    <w:p w14:paraId="1109D476">
      <w:pPr>
        <w:widowControl/>
        <w:spacing w:line="360" w:lineRule="auto"/>
        <w:ind w:firstLine="480" w:firstLineChars="200"/>
        <w:jc w:val="left"/>
        <w:outlineLvl w:val="2"/>
        <w:rPr>
          <w:rFonts w:hint="eastAsia" w:asciiTheme="minorEastAsia" w:hAnsiTheme="minorEastAsia" w:eastAsiaTheme="minorEastAsia" w:cstheme="minorEastAsia"/>
          <w:kern w:val="0"/>
          <w:sz w:val="24"/>
          <w:szCs w:val="24"/>
          <w:lang w:eastAsia="zh-CN"/>
        </w:rPr>
      </w:pPr>
      <w:r>
        <w:rPr>
          <w:rFonts w:hint="eastAsia" w:asciiTheme="minorEastAsia" w:hAnsiTheme="minorEastAsia" w:eastAsiaTheme="minorEastAsia" w:cstheme="minorEastAsia"/>
          <w:kern w:val="0"/>
          <w:sz w:val="24"/>
          <w:szCs w:val="24"/>
        </w:rPr>
        <w:t>取材地点</w:t>
      </w:r>
      <w:r>
        <w:rPr>
          <w:rFonts w:hint="eastAsia" w:asciiTheme="minorEastAsia" w:hAnsiTheme="minorEastAsia" w:eastAsiaTheme="minorEastAsia" w:cstheme="minorEastAsia"/>
          <w:kern w:val="0"/>
          <w:sz w:val="24"/>
          <w:szCs w:val="24"/>
          <w:lang w:eastAsia="zh-CN"/>
        </w:rPr>
        <w:t>：</w:t>
      </w:r>
      <w:r>
        <w:rPr>
          <w:rFonts w:hint="eastAsia" w:asciiTheme="minorEastAsia" w:hAnsiTheme="minorEastAsia" w:eastAsiaTheme="minorEastAsia" w:cstheme="minorEastAsia"/>
          <w:kern w:val="0"/>
          <w:sz w:val="24"/>
          <w:szCs w:val="24"/>
        </w:rPr>
        <w:t>阳关遗址周边砾石平地（距离阳关镇核心区≤5 公里）</w:t>
      </w:r>
    </w:p>
    <w:p w14:paraId="41285A48">
      <w:pPr>
        <w:widowControl/>
        <w:spacing w:line="360" w:lineRule="auto"/>
        <w:ind w:firstLine="480" w:firstLineChars="200"/>
        <w:jc w:val="left"/>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阳关烽燧以南的“古董滩”沙梁之间、阳关博物馆西侧戈壁滩，以及阳关镇至玉门关公路沿线的砾石分布区。</w:t>
      </w:r>
    </w:p>
    <w:p w14:paraId="441C4476">
      <w:pPr>
        <w:widowControl/>
        <w:spacing w:line="360" w:lineRule="auto"/>
        <w:ind w:firstLine="480" w:firstLineChars="200"/>
        <w:jc w:val="left"/>
        <w:outlineLvl w:val="2"/>
        <w:rPr>
          <w:rFonts w:hint="eastAsia" w:asciiTheme="minorEastAsia" w:hAnsiTheme="minorEastAsia" w:eastAsiaTheme="minorEastAsia" w:cstheme="minorEastAsia"/>
          <w:kern w:val="0"/>
          <w:sz w:val="24"/>
          <w:szCs w:val="24"/>
          <w:lang w:val="en-US" w:eastAsia="zh-CN"/>
        </w:rPr>
      </w:pPr>
      <w:r>
        <w:rPr>
          <w:rFonts w:hint="eastAsia" w:asciiTheme="minorEastAsia" w:hAnsiTheme="minorEastAsia" w:eastAsiaTheme="minorEastAsia" w:cstheme="minorEastAsia"/>
          <w:kern w:val="0"/>
          <w:sz w:val="24"/>
          <w:szCs w:val="24"/>
        </w:rPr>
        <w:t>合理性分析</w:t>
      </w:r>
      <w:r>
        <w:rPr>
          <w:rFonts w:hint="eastAsia" w:asciiTheme="minorEastAsia" w:hAnsiTheme="minorEastAsia" w:eastAsiaTheme="minorEastAsia" w:cstheme="minorEastAsia"/>
          <w:kern w:val="0"/>
          <w:sz w:val="24"/>
          <w:szCs w:val="24"/>
          <w:lang w:eastAsia="zh-CN"/>
        </w:rPr>
        <w:t>：</w:t>
      </w:r>
    </w:p>
    <w:p w14:paraId="0B7B4793">
      <w:pPr>
        <w:widowControl/>
        <w:numPr>
          <w:ilvl w:val="0"/>
          <w:numId w:val="0"/>
        </w:numPr>
        <w:spacing w:line="360" w:lineRule="auto"/>
        <w:ind w:firstLine="480" w:firstLineChars="200"/>
        <w:jc w:val="left"/>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lang w:val="en-US" w:eastAsia="zh-CN"/>
        </w:rPr>
        <w:t>（1</w:t>
      </w:r>
      <w:r>
        <w:rPr>
          <w:rFonts w:hint="eastAsia" w:asciiTheme="minorEastAsia" w:hAnsiTheme="minorEastAsia" w:eastAsiaTheme="minorEastAsia" w:cstheme="minorEastAsia"/>
          <w:kern w:val="0"/>
          <w:sz w:val="24"/>
          <w:szCs w:val="24"/>
          <w:lang w:eastAsia="zh-CN"/>
        </w:rPr>
        <w:t>）</w:t>
      </w:r>
      <w:r>
        <w:rPr>
          <w:rFonts w:hint="eastAsia" w:asciiTheme="minorEastAsia" w:hAnsiTheme="minorEastAsia" w:eastAsiaTheme="minorEastAsia" w:cstheme="minorEastAsia"/>
          <w:kern w:val="0"/>
          <w:sz w:val="24"/>
          <w:szCs w:val="24"/>
        </w:rPr>
        <w:t>资源禀赋充足：阳关地区属戈壁荒漠地貌，沙梁与沙丘之间广泛分布硬质砾石平地，卵石粒径多为 8-12cm，完全符合蓄热装置底层 “快速导热” 的粒径要求，且储量巨大、可就地开采无需长途运输敦煌阳关。</w:t>
      </w:r>
    </w:p>
    <w:p w14:paraId="13758AAD">
      <w:pPr>
        <w:widowControl/>
        <w:numPr>
          <w:ilvl w:val="0"/>
          <w:numId w:val="0"/>
        </w:numPr>
        <w:spacing w:line="360" w:lineRule="auto"/>
        <w:ind w:firstLine="480" w:firstLineChars="200"/>
        <w:jc w:val="left"/>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lang w:val="en-US" w:eastAsia="zh-CN"/>
        </w:rPr>
        <w:t>（2）历史应用验证：</w:t>
      </w:r>
      <w:r>
        <w:rPr>
          <w:rFonts w:hint="eastAsia" w:asciiTheme="minorEastAsia" w:hAnsiTheme="minorEastAsia" w:eastAsiaTheme="minorEastAsia" w:cstheme="minorEastAsia"/>
          <w:kern w:val="0"/>
          <w:sz w:val="24"/>
          <w:szCs w:val="24"/>
        </w:rPr>
        <w:t>敦煌汉长城、阳关烽燧等古迹均采用当地戈壁卵石作为建筑骨料，证明该区域卵石质地坚硬、稳定性强，长期埋地下不易风化，适配地下蓄热装置的长期使用需求。</w:t>
      </w:r>
    </w:p>
    <w:p w14:paraId="1F55D223">
      <w:pPr>
        <w:widowControl/>
        <w:numPr>
          <w:ilvl w:val="0"/>
          <w:numId w:val="0"/>
        </w:numPr>
        <w:spacing w:line="360" w:lineRule="auto"/>
        <w:ind w:firstLine="480" w:firstLineChars="200"/>
        <w:jc w:val="left"/>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lang w:val="en-US" w:eastAsia="zh-CN"/>
        </w:rPr>
        <w:t>（3）开采成本极低：</w:t>
      </w:r>
      <w:r>
        <w:rPr>
          <w:rFonts w:hint="eastAsia" w:asciiTheme="minorEastAsia" w:hAnsiTheme="minorEastAsia" w:eastAsiaTheme="minorEastAsia" w:cstheme="minorEastAsia"/>
          <w:kern w:val="0"/>
          <w:sz w:val="24"/>
          <w:szCs w:val="24"/>
        </w:rPr>
        <w:t>取材区域多为未开发的荒漠滩涂，无生态保护限制（非阳关国家级自然保护区核心区），开采仅需简单清理表层流沙，显著降低材料获取成本。</w:t>
      </w:r>
    </w:p>
    <w:p w14:paraId="3A6B4089">
      <w:pPr>
        <w:widowControl/>
        <w:spacing w:line="360" w:lineRule="auto"/>
        <w:ind w:firstLine="480" w:firstLineChars="200"/>
        <w:jc w:val="left"/>
        <w:outlineLvl w:val="1"/>
        <w:rPr>
          <w:rFonts w:hint="eastAsia" w:asciiTheme="minorEastAsia" w:hAnsiTheme="minorEastAsia" w:eastAsiaTheme="minorEastAsia" w:cstheme="minorEastAsia"/>
          <w:b w:val="0"/>
          <w:bCs w:val="0"/>
          <w:kern w:val="0"/>
          <w:sz w:val="24"/>
          <w:szCs w:val="24"/>
        </w:rPr>
      </w:pPr>
      <w:r>
        <w:rPr>
          <w:rFonts w:hint="eastAsia" w:asciiTheme="minorEastAsia" w:hAnsiTheme="minorEastAsia" w:eastAsiaTheme="minorEastAsia" w:cstheme="minorEastAsia"/>
          <w:b w:val="0"/>
          <w:bCs w:val="0"/>
          <w:kern w:val="0"/>
          <w:sz w:val="24"/>
          <w:szCs w:val="24"/>
          <w:lang w:val="en-US" w:eastAsia="zh-CN"/>
        </w:rPr>
        <w:t>2.铜管</w:t>
      </w:r>
    </w:p>
    <w:p w14:paraId="3F97ADF9">
      <w:pPr>
        <w:widowControl/>
        <w:spacing w:line="360" w:lineRule="auto"/>
        <w:ind w:firstLine="480" w:firstLineChars="200"/>
        <w:jc w:val="left"/>
        <w:outlineLvl w:val="2"/>
        <w:rPr>
          <w:rFonts w:hint="eastAsia" w:asciiTheme="minorEastAsia" w:hAnsiTheme="minorEastAsia" w:eastAsiaTheme="minorEastAsia" w:cstheme="minorEastAsia"/>
          <w:kern w:val="0"/>
          <w:sz w:val="24"/>
          <w:szCs w:val="24"/>
          <w:lang w:val="en-US" w:eastAsia="zh-CN"/>
        </w:rPr>
      </w:pPr>
      <w:r>
        <w:rPr>
          <w:rFonts w:hint="eastAsia" w:asciiTheme="minorEastAsia" w:hAnsiTheme="minorEastAsia" w:eastAsiaTheme="minorEastAsia" w:cstheme="minorEastAsia"/>
          <w:kern w:val="0"/>
          <w:sz w:val="24"/>
          <w:szCs w:val="24"/>
        </w:rPr>
        <w:t>取材地点</w:t>
      </w:r>
      <w:r>
        <w:rPr>
          <w:rFonts w:hint="eastAsia" w:asciiTheme="minorEastAsia" w:hAnsiTheme="minorEastAsia" w:eastAsiaTheme="minorEastAsia" w:cstheme="minorEastAsia"/>
          <w:kern w:val="0"/>
          <w:sz w:val="24"/>
          <w:szCs w:val="24"/>
          <w:lang w:eastAsia="zh-CN"/>
        </w:rPr>
        <w:t>：</w:t>
      </w:r>
      <w:r>
        <w:rPr>
          <w:rFonts w:hint="eastAsia" w:asciiTheme="minorEastAsia" w:hAnsiTheme="minorEastAsia" w:eastAsiaTheme="minorEastAsia" w:cstheme="minorEastAsia"/>
          <w:kern w:val="0"/>
          <w:sz w:val="24"/>
          <w:szCs w:val="24"/>
        </w:rPr>
        <w:t>敦煌市鑫创铜业有限公司（距离阳关镇≤65公里）</w:t>
      </w:r>
    </w:p>
    <w:p w14:paraId="38F9FA01">
      <w:pPr>
        <w:widowControl/>
        <w:spacing w:line="360" w:lineRule="auto"/>
        <w:ind w:firstLine="480" w:firstLineChars="200"/>
        <w:jc w:val="left"/>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敦煌市区北辰区双街镇沿河区11号的敦煌鑫创铜业有限公司生产基地。</w:t>
      </w:r>
    </w:p>
    <w:p w14:paraId="68F8DC51">
      <w:pPr>
        <w:widowControl/>
        <w:spacing w:line="360" w:lineRule="auto"/>
        <w:ind w:firstLine="480" w:firstLineChars="200"/>
        <w:jc w:val="left"/>
        <w:outlineLvl w:val="2"/>
        <w:rPr>
          <w:rFonts w:hint="eastAsia" w:asciiTheme="minorEastAsia" w:hAnsiTheme="minorEastAsia" w:eastAsiaTheme="minorEastAsia" w:cstheme="minorEastAsia"/>
          <w:kern w:val="0"/>
          <w:sz w:val="24"/>
          <w:szCs w:val="24"/>
          <w:lang w:eastAsia="zh-CN"/>
        </w:rPr>
      </w:pPr>
      <w:r>
        <w:rPr>
          <w:rFonts w:hint="eastAsia" w:asciiTheme="minorEastAsia" w:hAnsiTheme="minorEastAsia" w:eastAsiaTheme="minorEastAsia" w:cstheme="minorEastAsia"/>
          <w:kern w:val="0"/>
          <w:sz w:val="24"/>
          <w:szCs w:val="24"/>
        </w:rPr>
        <w:t>合理性分析</w:t>
      </w:r>
      <w:r>
        <w:rPr>
          <w:rFonts w:hint="eastAsia" w:asciiTheme="minorEastAsia" w:hAnsiTheme="minorEastAsia" w:eastAsiaTheme="minorEastAsia" w:cstheme="minorEastAsia"/>
          <w:kern w:val="0"/>
          <w:sz w:val="24"/>
          <w:szCs w:val="24"/>
          <w:lang w:eastAsia="zh-CN"/>
        </w:rPr>
        <w:t>：</w:t>
      </w:r>
    </w:p>
    <w:p w14:paraId="2E28F51B">
      <w:pPr>
        <w:widowControl/>
        <w:numPr>
          <w:ilvl w:val="0"/>
          <w:numId w:val="0"/>
        </w:numPr>
        <w:spacing w:line="360" w:lineRule="auto"/>
        <w:ind w:firstLine="480" w:firstLineChars="200"/>
        <w:jc w:val="left"/>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lang w:eastAsia="zh-CN"/>
        </w:rPr>
        <w:t>（</w:t>
      </w:r>
      <w:r>
        <w:rPr>
          <w:rFonts w:hint="eastAsia" w:asciiTheme="minorEastAsia" w:hAnsiTheme="minorEastAsia" w:eastAsiaTheme="minorEastAsia" w:cstheme="minorEastAsia"/>
          <w:kern w:val="0"/>
          <w:sz w:val="24"/>
          <w:szCs w:val="24"/>
          <w:lang w:val="en-US" w:eastAsia="zh-CN"/>
        </w:rPr>
        <w:t>1</w:t>
      </w:r>
      <w:r>
        <w:rPr>
          <w:rFonts w:hint="eastAsia" w:asciiTheme="minorEastAsia" w:hAnsiTheme="minorEastAsia" w:eastAsiaTheme="minorEastAsia" w:cstheme="minorEastAsia"/>
          <w:kern w:val="0"/>
          <w:sz w:val="24"/>
          <w:szCs w:val="24"/>
          <w:lang w:eastAsia="zh-CN"/>
        </w:rPr>
        <w:t>）</w:t>
      </w:r>
      <w:r>
        <w:rPr>
          <w:rFonts w:hint="eastAsia" w:asciiTheme="minorEastAsia" w:hAnsiTheme="minorEastAsia" w:eastAsiaTheme="minorEastAsia" w:cstheme="minorEastAsia"/>
          <w:kern w:val="0"/>
          <w:sz w:val="24"/>
          <w:szCs w:val="24"/>
        </w:rPr>
        <w:t>本地供应保障：该公司为敦煌本土铜材生产企业，主营紫铜管、黄铜管等产品，生产基地直供阳关镇，供应范围覆盖整个敦煌区域，可根据需求定制DN32规格的换热盘管，无需跨区域采购。</w:t>
      </w:r>
    </w:p>
    <w:p w14:paraId="744FD2F0">
      <w:pPr>
        <w:widowControl/>
        <w:numPr>
          <w:ilvl w:val="0"/>
          <w:numId w:val="0"/>
        </w:numPr>
        <w:spacing w:line="360" w:lineRule="auto"/>
        <w:ind w:firstLine="480" w:firstLineChars="200"/>
        <w:jc w:val="left"/>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lang w:eastAsia="zh-CN"/>
        </w:rPr>
        <w:t>（</w:t>
      </w:r>
      <w:r>
        <w:rPr>
          <w:rFonts w:hint="eastAsia" w:asciiTheme="minorEastAsia" w:hAnsiTheme="minorEastAsia" w:eastAsiaTheme="minorEastAsia" w:cstheme="minorEastAsia"/>
          <w:kern w:val="0"/>
          <w:sz w:val="24"/>
          <w:szCs w:val="24"/>
          <w:lang w:val="en-US" w:eastAsia="zh-CN"/>
        </w:rPr>
        <w:t>2</w:t>
      </w:r>
      <w:r>
        <w:rPr>
          <w:rFonts w:hint="eastAsia" w:asciiTheme="minorEastAsia" w:hAnsiTheme="minorEastAsia" w:eastAsiaTheme="minorEastAsia" w:cstheme="minorEastAsia"/>
          <w:kern w:val="0"/>
          <w:sz w:val="24"/>
          <w:szCs w:val="24"/>
          <w:lang w:eastAsia="zh-CN"/>
        </w:rPr>
        <w:t>）技术适配性强：企</w:t>
      </w:r>
      <w:r>
        <w:rPr>
          <w:rFonts w:hint="eastAsia" w:asciiTheme="minorEastAsia" w:hAnsiTheme="minorEastAsia" w:eastAsiaTheme="minorEastAsia" w:cstheme="minorEastAsia"/>
          <w:kern w:val="0"/>
          <w:sz w:val="24"/>
          <w:szCs w:val="24"/>
        </w:rPr>
        <w:t>业提供从设计、生产到安装的一站式服务，能精准匹配底层卵石层的盘管布置需求，确保铜管与卵石层的贴合度，提升导热效率。</w:t>
      </w:r>
    </w:p>
    <w:p w14:paraId="355C41FD">
      <w:pPr>
        <w:widowControl/>
        <w:numPr>
          <w:ilvl w:val="0"/>
          <w:numId w:val="0"/>
        </w:numPr>
        <w:spacing w:line="360" w:lineRule="auto"/>
        <w:ind w:firstLine="480" w:firstLineChars="200"/>
        <w:jc w:val="left"/>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lang w:eastAsia="zh-CN"/>
        </w:rPr>
        <w:t>（</w:t>
      </w:r>
      <w:r>
        <w:rPr>
          <w:rFonts w:hint="eastAsia" w:asciiTheme="minorEastAsia" w:hAnsiTheme="minorEastAsia" w:eastAsiaTheme="minorEastAsia" w:cstheme="minorEastAsia"/>
          <w:kern w:val="0"/>
          <w:sz w:val="24"/>
          <w:szCs w:val="24"/>
          <w:lang w:val="en-US" w:eastAsia="zh-CN"/>
        </w:rPr>
        <w:t>3</w:t>
      </w:r>
      <w:r>
        <w:rPr>
          <w:rFonts w:hint="eastAsia" w:asciiTheme="minorEastAsia" w:hAnsiTheme="minorEastAsia" w:eastAsiaTheme="minorEastAsia" w:cstheme="minorEastAsia"/>
          <w:kern w:val="0"/>
          <w:sz w:val="24"/>
          <w:szCs w:val="24"/>
          <w:lang w:eastAsia="zh-CN"/>
        </w:rPr>
        <w:t>）成本与时效优势：厂家</w:t>
      </w:r>
      <w:r>
        <w:rPr>
          <w:rFonts w:hint="eastAsia" w:asciiTheme="minorEastAsia" w:hAnsiTheme="minorEastAsia" w:eastAsiaTheme="minorEastAsia" w:cstheme="minorEastAsia"/>
          <w:kern w:val="0"/>
          <w:sz w:val="24"/>
          <w:szCs w:val="24"/>
        </w:rPr>
        <w:t>直供省去中间流通环节，价格较外购低 15%-20%，且运输距离仅1小时车程，能快速响应施工需求，降低物流损耗。</w:t>
      </w:r>
    </w:p>
    <w:p w14:paraId="2F5C6A0B">
      <w:pPr>
        <w:widowControl/>
        <w:spacing w:line="360" w:lineRule="auto"/>
        <w:ind w:firstLine="480" w:firstLineChars="200"/>
        <w:jc w:val="left"/>
        <w:outlineLvl w:val="1"/>
        <w:rPr>
          <w:rFonts w:hint="eastAsia" w:asciiTheme="minorEastAsia" w:hAnsiTheme="minorEastAsia" w:eastAsiaTheme="minorEastAsia" w:cstheme="minorEastAsia"/>
          <w:b w:val="0"/>
          <w:bCs w:val="0"/>
          <w:kern w:val="0"/>
          <w:sz w:val="24"/>
          <w:szCs w:val="24"/>
        </w:rPr>
      </w:pPr>
      <w:r>
        <w:rPr>
          <w:rFonts w:hint="eastAsia" w:asciiTheme="minorEastAsia" w:hAnsiTheme="minorEastAsia" w:eastAsiaTheme="minorEastAsia" w:cstheme="minorEastAsia"/>
          <w:b w:val="0"/>
          <w:bCs w:val="0"/>
          <w:kern w:val="0"/>
          <w:sz w:val="24"/>
          <w:szCs w:val="24"/>
          <w:lang w:val="en-US" w:eastAsia="zh-CN"/>
        </w:rPr>
        <w:t>3.沙土</w:t>
      </w:r>
    </w:p>
    <w:p w14:paraId="075CE764">
      <w:pPr>
        <w:widowControl/>
        <w:spacing w:line="360" w:lineRule="auto"/>
        <w:ind w:firstLine="480" w:firstLineChars="200"/>
        <w:jc w:val="left"/>
        <w:outlineLvl w:val="2"/>
        <w:rPr>
          <w:rFonts w:hint="eastAsia" w:asciiTheme="minorEastAsia" w:hAnsiTheme="minorEastAsia" w:eastAsiaTheme="minorEastAsia" w:cstheme="minorEastAsia"/>
          <w:kern w:val="0"/>
          <w:sz w:val="24"/>
          <w:szCs w:val="24"/>
          <w:lang w:eastAsia="zh-CN"/>
        </w:rPr>
      </w:pPr>
      <w:r>
        <w:rPr>
          <w:rFonts w:hint="eastAsia" w:asciiTheme="minorEastAsia" w:hAnsiTheme="minorEastAsia" w:eastAsiaTheme="minorEastAsia" w:cstheme="minorEastAsia"/>
          <w:kern w:val="0"/>
          <w:sz w:val="24"/>
          <w:szCs w:val="24"/>
        </w:rPr>
        <w:t>取材地点</w:t>
      </w:r>
      <w:r>
        <w:rPr>
          <w:rFonts w:hint="eastAsia" w:asciiTheme="minorEastAsia" w:hAnsiTheme="minorEastAsia" w:eastAsiaTheme="minorEastAsia" w:cstheme="minorEastAsia"/>
          <w:kern w:val="0"/>
          <w:sz w:val="24"/>
          <w:szCs w:val="24"/>
          <w:lang w:eastAsia="zh-CN"/>
        </w:rPr>
        <w:t>：</w:t>
      </w:r>
      <w:r>
        <w:rPr>
          <w:rFonts w:hint="eastAsia" w:asciiTheme="minorEastAsia" w:hAnsiTheme="minorEastAsia" w:eastAsiaTheme="minorEastAsia" w:cstheme="minorEastAsia"/>
          <w:kern w:val="0"/>
          <w:sz w:val="24"/>
          <w:szCs w:val="24"/>
        </w:rPr>
        <w:t>阳关镇西沙窝风积平原（距离阳关镇核心区≤8 公里</w:t>
      </w:r>
      <w:r>
        <w:rPr>
          <w:rFonts w:hint="eastAsia" w:asciiTheme="minorEastAsia" w:hAnsiTheme="minorEastAsia" w:eastAsiaTheme="minorEastAsia" w:cstheme="minorEastAsia"/>
          <w:kern w:val="0"/>
          <w:sz w:val="24"/>
          <w:szCs w:val="24"/>
          <w:lang w:eastAsia="zh-CN"/>
        </w:rPr>
        <w:t>）</w:t>
      </w:r>
    </w:p>
    <w:p w14:paraId="12258E12">
      <w:pPr>
        <w:widowControl/>
        <w:spacing w:line="360" w:lineRule="auto"/>
        <w:ind w:firstLine="480" w:firstLineChars="200"/>
        <w:jc w:val="left"/>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阳关镇西部的西沙窝风积平原、黄墩子西部新月型沙丘区域，以及甘草梁周边流动沙丘过渡地带。</w:t>
      </w:r>
    </w:p>
    <w:p w14:paraId="45C7F87E">
      <w:pPr>
        <w:widowControl/>
        <w:spacing w:line="360" w:lineRule="auto"/>
        <w:ind w:firstLine="480" w:firstLineChars="200"/>
        <w:jc w:val="left"/>
        <w:outlineLvl w:val="2"/>
        <w:rPr>
          <w:rFonts w:hint="eastAsia" w:asciiTheme="minorEastAsia" w:hAnsiTheme="minorEastAsia" w:eastAsiaTheme="minorEastAsia" w:cstheme="minorEastAsia"/>
          <w:kern w:val="0"/>
          <w:sz w:val="24"/>
          <w:szCs w:val="24"/>
          <w:lang w:val="en-US" w:eastAsia="zh-CN"/>
        </w:rPr>
      </w:pPr>
      <w:r>
        <w:rPr>
          <w:rFonts w:hint="eastAsia" w:asciiTheme="minorEastAsia" w:hAnsiTheme="minorEastAsia" w:eastAsiaTheme="minorEastAsia" w:cstheme="minorEastAsia"/>
          <w:kern w:val="0"/>
          <w:sz w:val="24"/>
          <w:szCs w:val="24"/>
        </w:rPr>
        <w:t>合理性分析</w:t>
      </w:r>
      <w:r>
        <w:rPr>
          <w:rFonts w:hint="eastAsia" w:asciiTheme="minorEastAsia" w:hAnsiTheme="minorEastAsia" w:eastAsiaTheme="minorEastAsia" w:cstheme="minorEastAsia"/>
          <w:kern w:val="0"/>
          <w:sz w:val="24"/>
          <w:szCs w:val="24"/>
          <w:lang w:eastAsia="zh-CN"/>
        </w:rPr>
        <w:t>：</w:t>
      </w:r>
    </w:p>
    <w:p w14:paraId="2394DD35">
      <w:pPr>
        <w:widowControl/>
        <w:numPr>
          <w:ilvl w:val="0"/>
          <w:numId w:val="0"/>
        </w:numPr>
        <w:spacing w:line="360" w:lineRule="auto"/>
        <w:ind w:firstLine="480" w:firstLineChars="200"/>
        <w:jc w:val="left"/>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lang w:val="en-US" w:eastAsia="zh-CN"/>
        </w:rPr>
        <w:t>(1)</w:t>
      </w:r>
      <w:r>
        <w:rPr>
          <w:rFonts w:hint="eastAsia" w:asciiTheme="minorEastAsia" w:hAnsiTheme="minorEastAsia" w:eastAsiaTheme="minorEastAsia" w:cstheme="minorEastAsia"/>
          <w:kern w:val="0"/>
          <w:sz w:val="24"/>
          <w:szCs w:val="24"/>
        </w:rPr>
        <w:t>资源储量无限：敦煌是全国风积沙资源最丰富的地区之一，阳关镇西沙窝为典型风积平原，沙丘连绵分布，沙土纯度高、颗粒均匀，取材几乎零成本。</w:t>
      </w:r>
    </w:p>
    <w:p w14:paraId="20F6EF28">
      <w:pPr>
        <w:widowControl/>
        <w:numPr>
          <w:ilvl w:val="0"/>
          <w:numId w:val="0"/>
        </w:numPr>
        <w:spacing w:line="360" w:lineRule="auto"/>
        <w:ind w:firstLine="480" w:firstLineChars="200"/>
        <w:jc w:val="left"/>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lang w:val="en-US" w:eastAsia="zh-CN"/>
        </w:rPr>
        <w:t>(2)</w:t>
      </w:r>
      <w:r>
        <w:rPr>
          <w:rFonts w:hint="eastAsia" w:asciiTheme="minorEastAsia" w:hAnsiTheme="minorEastAsia" w:eastAsiaTheme="minorEastAsia" w:cstheme="minorEastAsia"/>
          <w:kern w:val="0"/>
          <w:sz w:val="24"/>
          <w:szCs w:val="24"/>
        </w:rPr>
        <w:t>改良条件优越：该区域沙土含沙量达 90% 以上，通过添加 10% 本地黏土即可完成改良（黏土可从渥洼池周边农田表层获取），改良后导热系数达 0.85W/(m・K)，完全满足中层 “长效蓄热” 的热容量要求。</w:t>
      </w:r>
    </w:p>
    <w:p w14:paraId="3C418E26">
      <w:pPr>
        <w:widowControl/>
        <w:numPr>
          <w:ilvl w:val="0"/>
          <w:numId w:val="0"/>
        </w:numPr>
        <w:spacing w:line="360" w:lineRule="auto"/>
        <w:ind w:firstLine="480" w:firstLineChars="200"/>
        <w:jc w:val="left"/>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lang w:val="en-US" w:eastAsia="zh-CN"/>
        </w:rPr>
        <w:t>(3)</w:t>
      </w:r>
      <w:r>
        <w:rPr>
          <w:rFonts w:hint="eastAsia" w:asciiTheme="minorEastAsia" w:hAnsiTheme="minorEastAsia" w:eastAsiaTheme="minorEastAsia" w:cstheme="minorEastAsia"/>
          <w:kern w:val="0"/>
          <w:sz w:val="24"/>
          <w:szCs w:val="24"/>
        </w:rPr>
        <w:t>生态影响极小：取材区域为荒漠化治理边缘地带，开采后可通过</w:t>
      </w:r>
      <w:r>
        <w:rPr>
          <w:rFonts w:hint="eastAsia" w:asciiTheme="minorEastAsia" w:hAnsiTheme="minorEastAsia" w:eastAsiaTheme="minorEastAsia" w:cstheme="minorEastAsia"/>
          <w:color w:val="auto"/>
          <w:kern w:val="0"/>
          <w:sz w:val="24"/>
          <w:szCs w:val="24"/>
        </w:rPr>
        <w:t>草方格固沙等本地成熟技术进行生态修复</w:t>
      </w:r>
      <w:r>
        <w:rPr>
          <w:rFonts w:hint="eastAsia" w:asciiTheme="minorEastAsia" w:hAnsiTheme="minorEastAsia" w:eastAsiaTheme="minorEastAsia" w:cstheme="minorEastAsia"/>
          <w:kern w:val="0"/>
          <w:sz w:val="24"/>
          <w:szCs w:val="24"/>
        </w:rPr>
        <w:t>，与阳关保护区 “三道防线” 治沙理念相契合，实现资源利用与生态保护的平衡。</w:t>
      </w:r>
    </w:p>
    <w:p w14:paraId="39F71F9F">
      <w:pPr>
        <w:widowControl/>
        <w:spacing w:line="360" w:lineRule="auto"/>
        <w:ind w:firstLine="480" w:firstLineChars="200"/>
        <w:jc w:val="left"/>
        <w:outlineLvl w:val="1"/>
        <w:rPr>
          <w:rFonts w:hint="eastAsia" w:asciiTheme="minorEastAsia" w:hAnsiTheme="minorEastAsia" w:eastAsiaTheme="minorEastAsia" w:cstheme="minorEastAsia"/>
          <w:b w:val="0"/>
          <w:bCs w:val="0"/>
          <w:kern w:val="0"/>
          <w:sz w:val="24"/>
          <w:szCs w:val="24"/>
        </w:rPr>
      </w:pPr>
      <w:r>
        <w:rPr>
          <w:rFonts w:hint="eastAsia" w:asciiTheme="minorEastAsia" w:hAnsiTheme="minorEastAsia" w:eastAsiaTheme="minorEastAsia" w:cstheme="minorEastAsia"/>
          <w:b w:val="0"/>
          <w:bCs w:val="0"/>
          <w:kern w:val="0"/>
          <w:sz w:val="24"/>
          <w:szCs w:val="24"/>
          <w:lang w:val="en-US" w:eastAsia="zh-CN"/>
        </w:rPr>
        <w:t>4.麦秸秆</w:t>
      </w:r>
    </w:p>
    <w:p w14:paraId="5884EC1B">
      <w:pPr>
        <w:widowControl/>
        <w:spacing w:line="360" w:lineRule="auto"/>
        <w:ind w:firstLine="480" w:firstLineChars="200"/>
        <w:jc w:val="left"/>
        <w:outlineLvl w:val="2"/>
        <w:rPr>
          <w:rFonts w:hint="eastAsia" w:asciiTheme="minorEastAsia" w:hAnsiTheme="minorEastAsia" w:eastAsiaTheme="minorEastAsia" w:cstheme="minorEastAsia"/>
          <w:kern w:val="0"/>
          <w:sz w:val="24"/>
          <w:szCs w:val="24"/>
          <w:lang w:val="en-US" w:eastAsia="zh-CN"/>
        </w:rPr>
      </w:pPr>
      <w:r>
        <w:rPr>
          <w:rFonts w:hint="eastAsia" w:asciiTheme="minorEastAsia" w:hAnsiTheme="minorEastAsia" w:eastAsiaTheme="minorEastAsia" w:cstheme="minorEastAsia"/>
          <w:kern w:val="0"/>
          <w:sz w:val="24"/>
          <w:szCs w:val="24"/>
        </w:rPr>
        <w:t>取材地点</w:t>
      </w:r>
      <w:r>
        <w:rPr>
          <w:rFonts w:hint="eastAsia" w:asciiTheme="minorEastAsia" w:hAnsiTheme="minorEastAsia" w:eastAsiaTheme="minorEastAsia" w:cstheme="minorEastAsia"/>
          <w:kern w:val="0"/>
          <w:sz w:val="24"/>
          <w:szCs w:val="24"/>
          <w:lang w:eastAsia="zh-CN"/>
        </w:rPr>
        <w:t>：</w:t>
      </w:r>
      <w:r>
        <w:rPr>
          <w:rFonts w:hint="eastAsia" w:asciiTheme="minorEastAsia" w:hAnsiTheme="minorEastAsia" w:eastAsiaTheme="minorEastAsia" w:cstheme="minorEastAsia"/>
          <w:kern w:val="0"/>
          <w:sz w:val="24"/>
          <w:szCs w:val="24"/>
        </w:rPr>
        <w:t>阳关镇葡萄种植基地（距离阳关镇核心区≤3 公里）</w:t>
      </w:r>
    </w:p>
    <w:p w14:paraId="7E629D60">
      <w:pPr>
        <w:widowControl/>
        <w:spacing w:line="360" w:lineRule="auto"/>
        <w:ind w:firstLine="480" w:firstLineChars="200"/>
        <w:jc w:val="left"/>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阳关镇万亩葡萄种植基地（涵盖渥洼池周边、野麻湾等区域）的农户田间。</w:t>
      </w:r>
    </w:p>
    <w:p w14:paraId="283C565A">
      <w:pPr>
        <w:widowControl/>
        <w:spacing w:line="360" w:lineRule="auto"/>
        <w:ind w:firstLine="480" w:firstLineChars="200"/>
        <w:jc w:val="left"/>
        <w:outlineLvl w:val="2"/>
        <w:rPr>
          <w:rFonts w:hint="eastAsia" w:asciiTheme="minorEastAsia" w:hAnsiTheme="minorEastAsia" w:eastAsiaTheme="minorEastAsia" w:cstheme="minorEastAsia"/>
          <w:kern w:val="0"/>
          <w:sz w:val="24"/>
          <w:szCs w:val="24"/>
          <w:lang w:val="en-US" w:eastAsia="zh-CN"/>
        </w:rPr>
      </w:pPr>
      <w:r>
        <w:rPr>
          <w:rFonts w:hint="eastAsia" w:asciiTheme="minorEastAsia" w:hAnsiTheme="minorEastAsia" w:eastAsiaTheme="minorEastAsia" w:cstheme="minorEastAsia"/>
          <w:kern w:val="0"/>
          <w:sz w:val="24"/>
          <w:szCs w:val="24"/>
        </w:rPr>
        <w:t>合理性分析</w:t>
      </w:r>
      <w:r>
        <w:rPr>
          <w:rFonts w:hint="eastAsia" w:asciiTheme="minorEastAsia" w:hAnsiTheme="minorEastAsia" w:eastAsiaTheme="minorEastAsia" w:cstheme="minorEastAsia"/>
          <w:kern w:val="0"/>
          <w:sz w:val="24"/>
          <w:szCs w:val="24"/>
          <w:lang w:eastAsia="zh-CN"/>
        </w:rPr>
        <w:t>：</w:t>
      </w:r>
    </w:p>
    <w:p w14:paraId="2DC97285">
      <w:pPr>
        <w:widowControl/>
        <w:numPr>
          <w:ilvl w:val="0"/>
          <w:numId w:val="0"/>
        </w:numPr>
        <w:spacing w:line="360" w:lineRule="auto"/>
        <w:ind w:firstLine="480" w:firstLineChars="200"/>
        <w:jc w:val="left"/>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lang w:val="en-US" w:eastAsia="zh-CN"/>
        </w:rPr>
        <w:t>(1)</w:t>
      </w:r>
      <w:r>
        <w:rPr>
          <w:rFonts w:hint="eastAsia" w:asciiTheme="minorEastAsia" w:hAnsiTheme="minorEastAsia" w:eastAsiaTheme="minorEastAsia" w:cstheme="minorEastAsia"/>
          <w:kern w:val="0"/>
          <w:sz w:val="24"/>
          <w:szCs w:val="24"/>
        </w:rPr>
        <w:t>产量供应充足：阳关镇是敦煌葡萄产业专镇，葡萄种植面积达 2.53 万亩，每年秋季修剪产生大量秸秆类农业废弃物，加上敦煌全市 6.84 万吨的农作物秸秆总产量，完全能满足夯土层的添加需求。</w:t>
      </w:r>
    </w:p>
    <w:p w14:paraId="243B1828">
      <w:pPr>
        <w:widowControl/>
        <w:numPr>
          <w:ilvl w:val="0"/>
          <w:numId w:val="0"/>
        </w:numPr>
        <w:spacing w:line="360" w:lineRule="auto"/>
        <w:ind w:firstLine="480" w:firstLineChars="200"/>
        <w:jc w:val="left"/>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lang w:val="en-US" w:eastAsia="zh-CN"/>
        </w:rPr>
        <w:t>(2)</w:t>
      </w:r>
      <w:r>
        <w:rPr>
          <w:rFonts w:hint="eastAsia" w:asciiTheme="minorEastAsia" w:hAnsiTheme="minorEastAsia" w:eastAsiaTheme="minorEastAsia" w:cstheme="minorEastAsia"/>
          <w:kern w:val="0"/>
          <w:sz w:val="24"/>
          <w:szCs w:val="24"/>
        </w:rPr>
        <w:t>本地利用传统：敦煌农民素有将农作物秸秆用于改良土壤、制作农家肥的传统，且麦秸秆作为农业废弃物，回收成本极低，契合 “变废为宝” 的绿建理念。</w:t>
      </w:r>
    </w:p>
    <w:p w14:paraId="0A1A8715">
      <w:pPr>
        <w:widowControl/>
        <w:numPr>
          <w:ilvl w:val="0"/>
          <w:numId w:val="0"/>
        </w:numPr>
        <w:spacing w:line="360" w:lineRule="auto"/>
        <w:ind w:firstLine="480" w:firstLineChars="200"/>
        <w:jc w:val="left"/>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kern w:val="0"/>
          <w:sz w:val="24"/>
          <w:szCs w:val="24"/>
          <w:lang w:val="en-US" w:eastAsia="zh-CN"/>
        </w:rPr>
        <w:t>(3)</w:t>
      </w:r>
      <w:r>
        <w:rPr>
          <w:rFonts w:hint="eastAsia" w:asciiTheme="minorEastAsia" w:hAnsiTheme="minorEastAsia" w:eastAsiaTheme="minorEastAsia" w:cstheme="minorEastAsia"/>
          <w:kern w:val="0"/>
          <w:sz w:val="24"/>
          <w:szCs w:val="24"/>
        </w:rPr>
        <w:t>保温性能验证：敦</w:t>
      </w:r>
      <w:r>
        <w:rPr>
          <w:rFonts w:hint="eastAsia" w:asciiTheme="minorEastAsia" w:hAnsiTheme="minorEastAsia" w:eastAsiaTheme="minorEastAsia" w:cstheme="minorEastAsia"/>
          <w:color w:val="auto"/>
          <w:kern w:val="0"/>
          <w:sz w:val="24"/>
          <w:szCs w:val="24"/>
        </w:rPr>
        <w:t>煌传统夯土建筑常添加麦秸秆、芦苇等植物纤维增强隔热性，历史实践证明麦秸秆与夯土结合后，可使保温层热损失降低 50% 以上，完美适配顶层 “切断热散失” 的功能需求。</w:t>
      </w:r>
    </w:p>
    <w:p w14:paraId="36BCEE39">
      <w:pPr>
        <w:widowControl/>
        <w:spacing w:line="360" w:lineRule="auto"/>
        <w:ind w:firstLine="480" w:firstLineChars="200"/>
        <w:jc w:val="left"/>
        <w:outlineLvl w:val="1"/>
        <w:rPr>
          <w:rFonts w:hint="eastAsia" w:asciiTheme="minorEastAsia" w:hAnsiTheme="minorEastAsia" w:eastAsiaTheme="minorEastAsia" w:cstheme="minorEastAsia"/>
          <w:b w:val="0"/>
          <w:bCs w:val="0"/>
          <w:kern w:val="0"/>
          <w:sz w:val="24"/>
          <w:szCs w:val="24"/>
        </w:rPr>
      </w:pPr>
      <w:r>
        <w:rPr>
          <w:rFonts w:hint="eastAsia" w:asciiTheme="minorEastAsia" w:hAnsiTheme="minorEastAsia" w:eastAsiaTheme="minorEastAsia" w:cstheme="minorEastAsia"/>
          <w:b w:val="0"/>
          <w:bCs w:val="0"/>
          <w:kern w:val="0"/>
          <w:sz w:val="24"/>
          <w:szCs w:val="24"/>
          <w:lang w:val="en-US" w:eastAsia="zh-CN"/>
        </w:rPr>
        <w:t>5.夯土</w:t>
      </w:r>
    </w:p>
    <w:p w14:paraId="090BC006">
      <w:pPr>
        <w:widowControl/>
        <w:spacing w:line="360" w:lineRule="auto"/>
        <w:ind w:firstLine="480" w:firstLineChars="200"/>
        <w:jc w:val="left"/>
        <w:outlineLvl w:val="2"/>
        <w:rPr>
          <w:rFonts w:hint="eastAsia" w:asciiTheme="minorEastAsia" w:hAnsiTheme="minorEastAsia" w:eastAsiaTheme="minorEastAsia" w:cstheme="minorEastAsia"/>
          <w:kern w:val="0"/>
          <w:sz w:val="24"/>
          <w:szCs w:val="24"/>
          <w:lang w:eastAsia="zh-CN"/>
        </w:rPr>
      </w:pPr>
      <w:r>
        <w:rPr>
          <w:rFonts w:hint="eastAsia" w:asciiTheme="minorEastAsia" w:hAnsiTheme="minorEastAsia" w:eastAsiaTheme="minorEastAsia" w:cstheme="minorEastAsia"/>
          <w:kern w:val="0"/>
          <w:sz w:val="24"/>
          <w:szCs w:val="24"/>
        </w:rPr>
        <w:t>取材地点</w:t>
      </w:r>
      <w:r>
        <w:rPr>
          <w:rFonts w:hint="eastAsia" w:asciiTheme="minorEastAsia" w:hAnsiTheme="minorEastAsia" w:eastAsiaTheme="minorEastAsia" w:cstheme="minorEastAsia"/>
          <w:kern w:val="0"/>
          <w:sz w:val="24"/>
          <w:szCs w:val="24"/>
          <w:lang w:eastAsia="zh-CN"/>
        </w:rPr>
        <w:t>：</w:t>
      </w:r>
      <w:r>
        <w:rPr>
          <w:rFonts w:hint="eastAsia" w:asciiTheme="minorEastAsia" w:hAnsiTheme="minorEastAsia" w:eastAsiaTheme="minorEastAsia" w:cstheme="minorEastAsia"/>
          <w:kern w:val="0"/>
          <w:sz w:val="24"/>
          <w:szCs w:val="24"/>
        </w:rPr>
        <w:t>阳关镇农田表层黏土（距离阳关镇核心区≤4 公里）</w:t>
      </w:r>
    </w:p>
    <w:p w14:paraId="22D26C51">
      <w:pPr>
        <w:widowControl/>
        <w:spacing w:line="360" w:lineRule="auto"/>
        <w:ind w:firstLine="480" w:firstLineChars="200"/>
        <w:jc w:val="left"/>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阳关镇渥洼池东侧绿洲农田、葡萄种植基地周边的表层黏土区。</w:t>
      </w:r>
    </w:p>
    <w:p w14:paraId="7D92137F">
      <w:pPr>
        <w:widowControl/>
        <w:spacing w:line="360" w:lineRule="auto"/>
        <w:ind w:firstLine="480" w:firstLineChars="200"/>
        <w:jc w:val="left"/>
        <w:outlineLvl w:val="2"/>
        <w:rPr>
          <w:rFonts w:hint="eastAsia" w:asciiTheme="minorEastAsia" w:hAnsiTheme="minorEastAsia" w:eastAsiaTheme="minorEastAsia" w:cstheme="minorEastAsia"/>
          <w:kern w:val="0"/>
          <w:sz w:val="24"/>
          <w:szCs w:val="24"/>
          <w:lang w:eastAsia="zh-CN"/>
        </w:rPr>
      </w:pPr>
      <w:r>
        <w:rPr>
          <w:rFonts w:hint="eastAsia" w:asciiTheme="minorEastAsia" w:hAnsiTheme="minorEastAsia" w:eastAsiaTheme="minorEastAsia" w:cstheme="minorEastAsia"/>
          <w:kern w:val="0"/>
          <w:sz w:val="24"/>
          <w:szCs w:val="24"/>
        </w:rPr>
        <w:t>合理性分析</w:t>
      </w:r>
      <w:r>
        <w:rPr>
          <w:rFonts w:hint="eastAsia" w:asciiTheme="minorEastAsia" w:hAnsiTheme="minorEastAsia" w:eastAsiaTheme="minorEastAsia" w:cstheme="minorEastAsia"/>
          <w:kern w:val="0"/>
          <w:sz w:val="24"/>
          <w:szCs w:val="24"/>
          <w:lang w:eastAsia="zh-CN"/>
        </w:rPr>
        <w:t>：</w:t>
      </w:r>
    </w:p>
    <w:p w14:paraId="6802F88E">
      <w:pPr>
        <w:widowControl/>
        <w:spacing w:line="360" w:lineRule="auto"/>
        <w:ind w:firstLine="480" w:firstLineChars="200"/>
        <w:jc w:val="left"/>
        <w:outlineLvl w:val="2"/>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lang w:eastAsia="zh-CN"/>
        </w:rPr>
        <w:t>（</w:t>
      </w:r>
      <w:r>
        <w:rPr>
          <w:rFonts w:hint="eastAsia" w:asciiTheme="minorEastAsia" w:hAnsiTheme="minorEastAsia" w:eastAsiaTheme="minorEastAsia" w:cstheme="minorEastAsia"/>
          <w:kern w:val="0"/>
          <w:sz w:val="24"/>
          <w:szCs w:val="24"/>
          <w:lang w:val="en-US" w:eastAsia="zh-CN"/>
        </w:rPr>
        <w:t>1</w:t>
      </w:r>
      <w:r>
        <w:rPr>
          <w:rFonts w:hint="eastAsia" w:asciiTheme="minorEastAsia" w:hAnsiTheme="minorEastAsia" w:eastAsiaTheme="minorEastAsia" w:cstheme="minorEastAsia"/>
          <w:kern w:val="0"/>
          <w:sz w:val="24"/>
          <w:szCs w:val="24"/>
          <w:lang w:eastAsia="zh-CN"/>
        </w:rPr>
        <w:t>）</w:t>
      </w:r>
      <w:r>
        <w:rPr>
          <w:rFonts w:hint="eastAsia" w:asciiTheme="minorEastAsia" w:hAnsiTheme="minorEastAsia" w:eastAsiaTheme="minorEastAsia" w:cstheme="minorEastAsia"/>
          <w:kern w:val="0"/>
          <w:sz w:val="24"/>
          <w:szCs w:val="24"/>
        </w:rPr>
        <w:t>材质适配性强：渥洼池周边绿洲因长期受泉水滋润，表层黏土黏性强、颗粒细腻，与麦秸秆混合夯筑后，密实度高、隔热性能优异，符合顶层保温层的结构要求。</w:t>
      </w:r>
    </w:p>
    <w:p w14:paraId="55063E85">
      <w:pPr>
        <w:widowControl/>
        <w:spacing w:line="360" w:lineRule="auto"/>
        <w:ind w:firstLine="480" w:firstLineChars="200"/>
        <w:jc w:val="left"/>
        <w:outlineLvl w:val="2"/>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lang w:eastAsia="zh-CN"/>
        </w:rPr>
        <w:t>（</w:t>
      </w:r>
      <w:r>
        <w:rPr>
          <w:rFonts w:hint="eastAsia" w:asciiTheme="minorEastAsia" w:hAnsiTheme="minorEastAsia" w:eastAsiaTheme="minorEastAsia" w:cstheme="minorEastAsia"/>
          <w:kern w:val="0"/>
          <w:sz w:val="24"/>
          <w:szCs w:val="24"/>
          <w:lang w:val="en-US" w:eastAsia="zh-CN"/>
        </w:rPr>
        <w:t>2</w:t>
      </w:r>
      <w:r>
        <w:rPr>
          <w:rFonts w:hint="eastAsia" w:asciiTheme="minorEastAsia" w:hAnsiTheme="minorEastAsia" w:eastAsiaTheme="minorEastAsia" w:cstheme="minorEastAsia"/>
          <w:kern w:val="0"/>
          <w:sz w:val="24"/>
          <w:szCs w:val="24"/>
          <w:lang w:eastAsia="zh-CN"/>
        </w:rPr>
        <w:t>）</w:t>
      </w:r>
      <w:r>
        <w:rPr>
          <w:rFonts w:hint="eastAsia" w:asciiTheme="minorEastAsia" w:hAnsiTheme="minorEastAsia" w:eastAsiaTheme="minorEastAsia" w:cstheme="minorEastAsia"/>
          <w:kern w:val="0"/>
          <w:sz w:val="24"/>
          <w:szCs w:val="24"/>
        </w:rPr>
        <w:t>历史营造传承：敦煌玉门关、河仓城等古迹均采用本地黏土夯筑而成，证明该区域黏土稳定性强、耐风化，埋地下不易开裂，适配蓄热装置顶层的长期保温需求。</w:t>
      </w:r>
    </w:p>
    <w:p w14:paraId="6B995379">
      <w:pPr>
        <w:widowControl/>
        <w:spacing w:line="360" w:lineRule="auto"/>
        <w:ind w:firstLine="480" w:firstLineChars="200"/>
        <w:jc w:val="left"/>
        <w:outlineLvl w:val="2"/>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lang w:eastAsia="zh-CN"/>
        </w:rPr>
        <w:t>（</w:t>
      </w:r>
      <w:r>
        <w:rPr>
          <w:rFonts w:hint="eastAsia" w:asciiTheme="minorEastAsia" w:hAnsiTheme="minorEastAsia" w:eastAsiaTheme="minorEastAsia" w:cstheme="minorEastAsia"/>
          <w:kern w:val="0"/>
          <w:sz w:val="24"/>
          <w:szCs w:val="24"/>
          <w:lang w:val="en-US" w:eastAsia="zh-CN"/>
        </w:rPr>
        <w:t>3</w:t>
      </w:r>
      <w:r>
        <w:rPr>
          <w:rFonts w:hint="eastAsia" w:asciiTheme="minorEastAsia" w:hAnsiTheme="minorEastAsia" w:eastAsiaTheme="minorEastAsia" w:cstheme="minorEastAsia"/>
          <w:kern w:val="0"/>
          <w:sz w:val="24"/>
          <w:szCs w:val="24"/>
          <w:lang w:eastAsia="zh-CN"/>
        </w:rPr>
        <w:t>）</w:t>
      </w:r>
      <w:r>
        <w:rPr>
          <w:rFonts w:hint="eastAsia" w:asciiTheme="minorEastAsia" w:hAnsiTheme="minorEastAsia" w:eastAsiaTheme="minorEastAsia" w:cstheme="minorEastAsia"/>
          <w:kern w:val="0"/>
          <w:sz w:val="24"/>
          <w:szCs w:val="24"/>
        </w:rPr>
        <w:t>获取方式便捷：取材区域为农田耕作层以下的黏土层，开采不会破坏农作物生长，且可与葡萄种植基地的土地整理同步进行，获取成本极低，同时避免了外购黏土的运输损耗。</w:t>
      </w:r>
    </w:p>
    <w:p w14:paraId="74243D05">
      <w:pPr>
        <w:widowControl/>
        <w:spacing w:line="360" w:lineRule="auto"/>
        <w:ind w:firstLine="480" w:firstLineChars="200"/>
        <w:jc w:val="left"/>
        <w:outlineLvl w:val="1"/>
        <w:rPr>
          <w:rFonts w:hint="eastAsia" w:asciiTheme="minorEastAsia" w:hAnsiTheme="minorEastAsia" w:eastAsiaTheme="minorEastAsia" w:cstheme="minorEastAsia"/>
          <w:b w:val="0"/>
          <w:bCs w:val="0"/>
          <w:kern w:val="0"/>
          <w:sz w:val="24"/>
          <w:szCs w:val="24"/>
          <w:lang w:val="en-US" w:eastAsia="zh-CN"/>
        </w:rPr>
      </w:pPr>
      <w:r>
        <w:rPr>
          <w:rFonts w:hint="eastAsia" w:asciiTheme="minorEastAsia" w:hAnsiTheme="minorEastAsia" w:eastAsiaTheme="minorEastAsia" w:cstheme="minorEastAsia"/>
          <w:b w:val="0"/>
          <w:bCs w:val="0"/>
          <w:kern w:val="0"/>
          <w:sz w:val="24"/>
          <w:szCs w:val="24"/>
          <w:lang w:val="en-US" w:eastAsia="zh-CN"/>
        </w:rPr>
        <w:t>6.就近取材核心优势总结</w:t>
      </w:r>
    </w:p>
    <w:p w14:paraId="04D43A51">
      <w:pPr>
        <w:widowControl/>
        <w:spacing w:line="360" w:lineRule="auto"/>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所有原材料均来自</w:t>
      </w:r>
      <w:r>
        <w:rPr>
          <w:rFonts w:hint="eastAsia" w:asciiTheme="minorEastAsia" w:hAnsiTheme="minorEastAsia" w:eastAsiaTheme="minorEastAsia" w:cstheme="minorEastAsia"/>
          <w:color w:val="auto"/>
          <w:kern w:val="0"/>
          <w:sz w:val="24"/>
          <w:szCs w:val="24"/>
        </w:rPr>
        <w:t>阳关镇 30 公里辐射圈（除铜管外），其中戈壁卵石、沙土、夯土、麦秸秆四类材料完全实现 “就地取材”，铜管实现 “本地</w:t>
      </w:r>
      <w:bookmarkStart w:id="0" w:name="_GoBack"/>
      <w:bookmarkEnd w:id="0"/>
      <w:r>
        <w:rPr>
          <w:rFonts w:hint="eastAsia" w:asciiTheme="minorEastAsia" w:hAnsiTheme="minorEastAsia" w:eastAsiaTheme="minorEastAsia" w:cstheme="minorEastAsia"/>
          <w:color w:val="auto"/>
          <w:kern w:val="0"/>
          <w:sz w:val="24"/>
          <w:szCs w:val="24"/>
        </w:rPr>
        <w:t>采购”，整体材料运输成本降低60%以上，且均契合敦煌地域资源特征与历史营造技艺。这种取材模式既减少了项目碳排放，又通过本地资源的高效利用，凸显了绿建项目“因地制宜”的核心原则，为寒冷地区乡镇绿建项目提供了低成本、可持续的材料解决方案。</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MS PGothic">
    <w:panose1 w:val="020B0600070205080204"/>
    <w:charset w:val="80"/>
    <w:family w:val="auto"/>
    <w:pitch w:val="default"/>
    <w:sig w:usb0="E00002FF" w:usb1="6AC7FDFB" w:usb2="08000012" w:usb3="00000000" w:csb0="4002009F" w:csb1="DFD7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BreakWrappedTables/>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785"/>
    <w:rsid w:val="003827C0"/>
    <w:rsid w:val="00771785"/>
    <w:rsid w:val="009132BD"/>
    <w:rsid w:val="00C26764"/>
    <w:rsid w:val="00EC4A83"/>
    <w:rsid w:val="00F0606D"/>
    <w:rsid w:val="02672365"/>
    <w:rsid w:val="029170CF"/>
    <w:rsid w:val="0C815C1B"/>
    <w:rsid w:val="29444F79"/>
    <w:rsid w:val="2F563C39"/>
    <w:rsid w:val="32F02F60"/>
    <w:rsid w:val="46D77749"/>
    <w:rsid w:val="4B9E66AB"/>
    <w:rsid w:val="4CEA2621"/>
    <w:rsid w:val="4E4A29F2"/>
    <w:rsid w:val="4F4F59DB"/>
    <w:rsid w:val="50885188"/>
    <w:rsid w:val="599D0AC4"/>
    <w:rsid w:val="61671D60"/>
    <w:rsid w:val="68955154"/>
    <w:rsid w:val="6AAB0F10"/>
    <w:rsid w:val="6DAD4F9F"/>
    <w:rsid w:val="6E7677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Times New Roman"/>
      <w:kern w:val="2"/>
      <w:sz w:val="21"/>
      <w:szCs w:val="22"/>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after="260" w:line="413" w:lineRule="auto"/>
      <w:outlineLvl w:val="2"/>
    </w:pPr>
    <w:rPr>
      <w:b/>
      <w:sz w:val="32"/>
    </w:rPr>
  </w:style>
  <w:style w:type="paragraph" w:styleId="5">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paragraph" w:styleId="6">
    <w:name w:val="heading 5"/>
    <w:basedOn w:val="1"/>
    <w:next w:val="1"/>
    <w:unhideWhenUsed/>
    <w:qFormat/>
    <w:uiPriority w:val="0"/>
    <w:pPr>
      <w:keepNext/>
      <w:keepLines/>
      <w:spacing w:before="280" w:after="290" w:line="372" w:lineRule="auto"/>
      <w:outlineLvl w:val="4"/>
    </w:pPr>
    <w:rPr>
      <w:b/>
      <w:sz w:val="28"/>
    </w:rPr>
  </w:style>
  <w:style w:type="paragraph" w:styleId="7">
    <w:name w:val="heading 6"/>
    <w:basedOn w:val="1"/>
    <w:next w:val="1"/>
    <w:unhideWhenUsed/>
    <w:qFormat/>
    <w:uiPriority w:val="0"/>
    <w:pPr>
      <w:keepNext/>
      <w:keepLines/>
      <w:spacing w:before="240" w:after="64" w:line="317" w:lineRule="auto"/>
      <w:outlineLvl w:val="5"/>
    </w:pPr>
    <w:rPr>
      <w:rFonts w:ascii="Arial" w:hAnsi="Arial" w:eastAsia="黑体"/>
      <w:b/>
      <w:sz w:val="24"/>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8">
    <w:name w:val="footer"/>
    <w:basedOn w:val="1"/>
    <w:link w:val="14"/>
    <w:qFormat/>
    <w:uiPriority w:val="0"/>
    <w:pPr>
      <w:tabs>
        <w:tab w:val="center" w:pos="4153"/>
        <w:tab w:val="right" w:pos="8306"/>
      </w:tabs>
      <w:snapToGrid w:val="0"/>
      <w:jc w:val="left"/>
    </w:pPr>
    <w:rPr>
      <w:sz w:val="18"/>
      <w:szCs w:val="18"/>
    </w:rPr>
  </w:style>
  <w:style w:type="paragraph" w:styleId="9">
    <w:name w:val="header"/>
    <w:basedOn w:val="1"/>
    <w:link w:val="13"/>
    <w:qFormat/>
    <w:uiPriority w:val="0"/>
    <w:pPr>
      <w:tabs>
        <w:tab w:val="center" w:pos="4153"/>
        <w:tab w:val="right" w:pos="8306"/>
      </w:tabs>
      <w:snapToGrid w:val="0"/>
      <w:jc w:val="center"/>
    </w:pPr>
    <w:rPr>
      <w:sz w:val="18"/>
      <w:szCs w:val="18"/>
    </w:rPr>
  </w:style>
  <w:style w:type="paragraph" w:customStyle="1" w:styleId="12">
    <w:name w:val="列表段落1"/>
    <w:basedOn w:val="1"/>
    <w:qFormat/>
    <w:uiPriority w:val="34"/>
    <w:pPr>
      <w:ind w:left="720"/>
      <w:contextualSpacing/>
    </w:pPr>
  </w:style>
  <w:style w:type="character" w:customStyle="1" w:styleId="13">
    <w:name w:val="页眉 字符"/>
    <w:basedOn w:val="11"/>
    <w:link w:val="9"/>
    <w:qFormat/>
    <w:uiPriority w:val="0"/>
    <w:rPr>
      <w:rFonts w:ascii="等线" w:hAnsi="等线" w:eastAsia="等线"/>
      <w:kern w:val="2"/>
      <w:sz w:val="18"/>
      <w:szCs w:val="18"/>
    </w:rPr>
  </w:style>
  <w:style w:type="character" w:customStyle="1" w:styleId="14">
    <w:name w:val="页脚 字符"/>
    <w:basedOn w:val="11"/>
    <w:link w:val="8"/>
    <w:qFormat/>
    <w:uiPriority w:val="0"/>
    <w:rPr>
      <w:rFonts w:ascii="等线" w:hAnsi="等线" w:eastAsia="等线"/>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5662</Words>
  <Characters>5955</Characters>
  <Lines>37</Lines>
  <Paragraphs>10</Paragraphs>
  <TotalTime>12</TotalTime>
  <ScaleCrop>false</ScaleCrop>
  <LinksUpToDate>false</LinksUpToDate>
  <CharactersWithSpaces>6010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2026-03-18T17:48:00Z</dcterms:created>
  <dc:creator>HW</dc:creator>
  <cp:lastModifiedBy>小新一枚</cp:lastModifiedBy>
  <dcterms:modified xsi:type="dcterms:W3CDTF">2026-03-29T11:30:01Z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eyJoZGlkIjoiNmQzY2JlZmU3NTgxNjUzNGRiMmMzNTI0MmY5YmYyZWUiLCJ1c2VySWQiOiIxNzc3MDMzMTYwIn0=</vt:lpwstr>
  </property>
  <property fmtid="{D5CDD505-2E9C-101B-9397-08002B2CF9AE}" pid="4" name="ICV">
    <vt:lpwstr>297414EEF6434B1491BEBA7F37344134_13</vt:lpwstr>
  </property>
</Properties>
</file>