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E6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可再生能源应用分析报告</w:t>
      </w:r>
    </w:p>
    <w:p w14:paraId="7D82F4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4D438E7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77E3F93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建筑属性</w:t>
      </w:r>
      <w:r>
        <w:rPr>
          <w:color w:val="000000"/>
          <w:sz w:val="19"/>
          <w:szCs w:val="19"/>
          <w:bdr w:val="none" w:color="auto" w:sz="0" w:space="0"/>
        </w:rPr>
        <w:t>：公共建筑（教育文化类）</w:t>
      </w:r>
    </w:p>
    <w:p w14:paraId="0924AFC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气候与资源条件</w:t>
      </w:r>
      <w:r>
        <w:rPr>
          <w:color w:val="000000"/>
          <w:sz w:val="19"/>
          <w:szCs w:val="19"/>
          <w:bdr w:val="none" w:color="auto" w:sz="0" w:space="0"/>
        </w:rPr>
        <w:t>：地处严寒 B 区（敦煌市），太阳能资源富集，年平均太阳辐照量达 6000MJ/㎡以上，具备优异的太阳能利用条件</w:t>
      </w:r>
    </w:p>
    <w:p w14:paraId="75008EE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分析依据</w:t>
      </w:r>
      <w:r>
        <w:rPr>
          <w:color w:val="000000"/>
          <w:sz w:val="19"/>
          <w:szCs w:val="19"/>
          <w:bdr w:val="none" w:color="auto" w:sz="0" w:space="0"/>
        </w:rPr>
        <w:t>：《建筑节能与可再生能源利用通用规范》GB55015-2021、《绿色建筑评价标准》GB/T50378-2024、《可再生能源建筑应用工程评价标准》GB/T50801-2013</w:t>
      </w:r>
    </w:p>
    <w:p w14:paraId="0D833D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二、可再生能源应用方案</w:t>
      </w:r>
    </w:p>
    <w:p w14:paraId="15BDFF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太阳能光伏系统</w:t>
      </w:r>
    </w:p>
    <w:p w14:paraId="2171F4C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系统形式</w:t>
      </w:r>
      <w:r>
        <w:rPr>
          <w:color w:val="000000"/>
          <w:sz w:val="19"/>
          <w:szCs w:val="19"/>
          <w:bdr w:val="none" w:color="auto" w:sz="0" w:space="0"/>
        </w:rPr>
        <w:t>：建筑屋面光伏一体化（BIPV）系统</w:t>
      </w:r>
    </w:p>
    <w:p w14:paraId="294CF2C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装机容量</w:t>
      </w:r>
      <w:r>
        <w:rPr>
          <w:color w:val="000000"/>
          <w:sz w:val="19"/>
          <w:szCs w:val="19"/>
          <w:bdr w:val="none" w:color="auto" w:sz="0" w:space="0"/>
        </w:rPr>
        <w:t>：120kW</w:t>
      </w:r>
    </w:p>
    <w:p w14:paraId="00343D7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组件选型</w:t>
      </w:r>
      <w:r>
        <w:rPr>
          <w:color w:val="000000"/>
          <w:sz w:val="19"/>
          <w:szCs w:val="19"/>
          <w:bdr w:val="none" w:color="auto" w:sz="0" w:space="0"/>
        </w:rPr>
        <w:t>：单晶硅高效光伏组件，转换效率≥23%</w:t>
      </w:r>
    </w:p>
    <w:p w14:paraId="727D1ED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年发电量计算</w:t>
      </w:r>
      <w:r>
        <w:rPr>
          <w:color w:val="000000"/>
          <w:sz w:val="19"/>
          <w:szCs w:val="19"/>
          <w:bdr w:val="none" w:color="auto" w:sz="0" w:space="0"/>
        </w:rPr>
        <w:t>：</w:t>
      </w:r>
      <w:r>
        <w:rPr>
          <w:color w:val="000000"/>
          <w:sz w:val="23"/>
          <w:szCs w:val="23"/>
          <w:bdr w:val="none" w:color="auto" w:sz="0" w:space="0"/>
        </w:rPr>
        <w:t>年发电量=装机容量×年等效满负荷小时数=120 kW×1500 h=180000 kWh/年</w:t>
      </w:r>
    </w:p>
    <w:p w14:paraId="385208A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系统接入</w:t>
      </w:r>
      <w:r>
        <w:rPr>
          <w:color w:val="000000"/>
          <w:sz w:val="19"/>
          <w:szCs w:val="19"/>
          <w:bdr w:val="none" w:color="auto" w:sz="0" w:space="0"/>
        </w:rPr>
        <w:t>：自发自用、余电上网，优先为建筑供暖、空调、照明系统供电</w:t>
      </w:r>
    </w:p>
    <w:p w14:paraId="4FBA27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太阳能 + 空气源热泵复合供暖系统</w:t>
      </w:r>
    </w:p>
    <w:p w14:paraId="7C26F25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系统形式</w:t>
      </w:r>
      <w:r>
        <w:rPr>
          <w:color w:val="000000"/>
          <w:sz w:val="19"/>
          <w:szCs w:val="19"/>
          <w:bdr w:val="none" w:color="auto" w:sz="0" w:space="0"/>
        </w:rPr>
        <w:t>：光伏供电驱动低温空气源热泵，配套地下分层蓄热系统</w:t>
      </w:r>
    </w:p>
    <w:p w14:paraId="7D8B42B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热泵参数</w:t>
      </w:r>
      <w:r>
        <w:rPr>
          <w:color w:val="000000"/>
          <w:sz w:val="19"/>
          <w:szCs w:val="19"/>
          <w:bdr w:val="none" w:color="auto" w:sz="0" w:space="0"/>
        </w:rPr>
        <w:t>：制热 COP≥4.80，适配敦煌 - 25℃极端低温工况</w:t>
      </w:r>
    </w:p>
    <w:p w14:paraId="6660E46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蓄热系统</w:t>
      </w:r>
      <w:r>
        <w:rPr>
          <w:color w:val="000000"/>
          <w:sz w:val="19"/>
          <w:szCs w:val="19"/>
          <w:bdr w:val="none" w:color="auto" w:sz="0" w:space="0"/>
        </w:rPr>
        <w:t>：地下分层戈壁卵石 - 麦秸秆夯土蓄热装置，实现热量削峰填谷</w:t>
      </w:r>
    </w:p>
    <w:p w14:paraId="6A2AD36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可再生能源供能占比</w:t>
      </w:r>
      <w:r>
        <w:rPr>
          <w:color w:val="000000"/>
          <w:sz w:val="19"/>
          <w:szCs w:val="19"/>
          <w:bdr w:val="none" w:color="auto" w:sz="0" w:space="0"/>
        </w:rPr>
        <w:t>：</w:t>
      </w:r>
      <w:r>
        <w:rPr>
          <w:color w:val="000000"/>
          <w:sz w:val="23"/>
          <w:szCs w:val="23"/>
          <w:bdr w:val="none" w:color="auto" w:sz="0" w:space="0"/>
        </w:rPr>
        <w:t>供能占比=建筑总能耗可再生能源供能量​×100%=1200000180000​×100%=15%</w:t>
      </w:r>
    </w:p>
    <w:p w14:paraId="03D9C6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三、合规性与得分判定</w:t>
      </w:r>
    </w:p>
    <w:p w14:paraId="41D37D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根据《绿色建筑评价标准》7.2.9 条：</w:t>
      </w:r>
    </w:p>
    <w:p w14:paraId="47B189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720" w:right="720"/>
        <w:jc w:val="left"/>
        <w:rPr>
          <w:rFonts w:hint="eastAsia" w:ascii="宋体" w:hAnsi="宋体" w:eastAsia="宋体" w:cs="宋体"/>
          <w:color w:val="000000"/>
          <w:sz w:val="19"/>
          <w:szCs w:val="19"/>
        </w:rPr>
      </w:pPr>
      <w:r>
        <w:rPr>
          <w:rFonts w:hint="eastAsia"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结合当地气候和自然资源条件合理利用可再生能源，评价总分值为 15 分，可再生能源利用率达到 10%，得 15 分；可再生能源利用率不足 10% 时，按线性内插法计算得分。</w:t>
      </w:r>
    </w:p>
    <w:p w14:paraId="1AC5C7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本项目可再生能源供能占比达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15%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，远高于 10% 的满分要求，对应得分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15 分（满分）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21706A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四、环境与经济效益分析</w:t>
      </w:r>
    </w:p>
    <w:p w14:paraId="7EA050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环境效益</w:t>
      </w:r>
    </w:p>
    <w:p w14:paraId="5D7B53E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年节约标准煤：</w:t>
      </w:r>
      <w:r>
        <w:rPr>
          <w:color w:val="000000"/>
          <w:sz w:val="23"/>
          <w:szCs w:val="23"/>
          <w:bdr w:val="none" w:color="auto" w:sz="0" w:space="0"/>
        </w:rPr>
        <w:t>180000 kWh×0.1229 kg/kWh=22.12 吨/年</w:t>
      </w:r>
    </w:p>
    <w:p w14:paraId="5A8EEE9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年减排 CO₂：</w:t>
      </w:r>
      <w:r>
        <w:rPr>
          <w:color w:val="000000"/>
          <w:sz w:val="23"/>
          <w:szCs w:val="23"/>
          <w:bdr w:val="none" w:color="auto" w:sz="0" w:space="0"/>
        </w:rPr>
        <w:t>22.12 吨×3.2=70.78 吨/年</w:t>
      </w:r>
    </w:p>
    <w:p w14:paraId="0375536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年减排 SO₂、NOₓ等污染物，改善区域环境质量</w:t>
      </w:r>
    </w:p>
    <w:p w14:paraId="520955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经济效益</w:t>
      </w:r>
    </w:p>
    <w:p w14:paraId="72CDD50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年节约电费：</w:t>
      </w:r>
      <w:r>
        <w:rPr>
          <w:color w:val="000000"/>
          <w:sz w:val="23"/>
          <w:szCs w:val="23"/>
          <w:bdr w:val="none" w:color="auto" w:sz="0" w:space="0"/>
        </w:rPr>
        <w:t>180000 kWh×0.6 元/kWh=10.8 万元/年</w:t>
      </w:r>
    </w:p>
    <w:p w14:paraId="327DB40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静态投资回收期：8-10 年，长期收益显著</w:t>
      </w:r>
    </w:p>
    <w:p w14:paraId="38C58C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五、分析结论</w:t>
      </w:r>
    </w:p>
    <w:p w14:paraId="29D80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本项目结合敦煌地区太阳能资源富集的优势，合理应用太阳能光伏 + 热泵复合系统，可再生能源供能占比达 15%，完全符合《绿色建筑评价标准》第 7.2.9 条的满分评分要求，方案技术可行、经济合理、环境效益显著。</w:t>
      </w:r>
    </w:p>
    <w:p w14:paraId="41B3CE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175E0"/>
    <w:multiLevelType w:val="multilevel"/>
    <w:tmpl w:val="E7E175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DC84137"/>
    <w:multiLevelType w:val="multilevel"/>
    <w:tmpl w:val="EDC841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A6A49E3"/>
    <w:multiLevelType w:val="multilevel"/>
    <w:tmpl w:val="FA6A49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66450F39"/>
    <w:multiLevelType w:val="multilevel"/>
    <w:tmpl w:val="66450F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75117D64"/>
    <w:multiLevelType w:val="multilevel"/>
    <w:tmpl w:val="75117D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1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2026-03-30T09:07:07Z</dcterms:created>
  <dc:creator>169</dc:creator>
  <cp:lastModifiedBy>小新一枚</cp:lastModifiedBy>
  <dcterms:modified xsi:type="dcterms:W3CDTF">2026-03-30T09:08:58Z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2AE42B96858A45EB92C29CF7355C4EFC_12</vt:lpwstr>
  </property>
</Properties>
</file>