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34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地下空间利用计算书</w:t>
      </w:r>
    </w:p>
    <w:p w14:paraId="01A30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7FDD62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0AE785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445E97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核心参数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714E321A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总用地面积：3200.00㎡</w:t>
      </w:r>
    </w:p>
    <w:p w14:paraId="2A22146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地下建筑面积：3200.00㎡（地下一层，与地上建筑投影面积一致）</w:t>
      </w:r>
    </w:p>
    <w:p w14:paraId="4B90616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地下一层建筑面积：3200.00㎡</w:t>
      </w:r>
    </w:p>
    <w:p w14:paraId="6E83798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：《绿色建筑评价标准》GB/T50378-2024</w:t>
      </w:r>
    </w:p>
    <w:p w14:paraId="055048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03FF49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地下空间开发利用指标计算</w:t>
      </w:r>
    </w:p>
    <w:p w14:paraId="4E9DA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根据《绿色建筑评价标准》表 7.2.2，公共建筑地下空间评分指标如下：</w:t>
      </w:r>
    </w:p>
    <w:p w14:paraId="02A70B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Rp1</w:t>
      </w:r>
      <w:r>
        <w:rPr>
          <w:color w:val="000000"/>
          <w:sz w:val="19"/>
          <w:szCs w:val="19"/>
          <w:bdr w:val="none" w:color="auto" w:sz="0" w:space="0"/>
        </w:rPr>
        <w:t>：地下建筑面积与总用地面积的比率</w:t>
      </w:r>
    </w:p>
    <w:p w14:paraId="2EA9A0C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Rp</w:t>
      </w:r>
      <w:r>
        <w:rPr>
          <w:color w:val="000000"/>
          <w:sz w:val="19"/>
          <w:szCs w:val="19"/>
          <w:bdr w:val="none" w:color="auto" w:sz="0" w:space="0"/>
        </w:rPr>
        <w:t>：地下一层建筑面积与总用地面积的比率</w:t>
      </w:r>
    </w:p>
    <w:p w14:paraId="3B1D0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计算公式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Rp1=总用地面积地下建筑面积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/总占地面积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​</w:t>
      </w:r>
    </w:p>
    <w:p w14:paraId="63B9B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Rp=总用地面积地下一层建筑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val="en-US" w:eastAsia="zh-CN" w:bidi="ar"/>
        </w:rPr>
        <w:t>/总占地面积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面积​</w:t>
      </w:r>
    </w:p>
    <w:p w14:paraId="3F034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计算结果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：</w:t>
      </w:r>
    </w:p>
    <w:p w14:paraId="7B8E046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地下建筑面积与总用地面积比率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Rp1 = 1.0</w:t>
      </w:r>
    </w:p>
    <w:p w14:paraId="5953EC6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地下一层建筑面积与总用地面积比率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Rp = 1.0</w:t>
      </w:r>
    </w:p>
    <w:p w14:paraId="67B39F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得分判定</w:t>
      </w:r>
    </w:p>
    <w:p w14:paraId="34C48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根据《绿色建筑评价标准》表 7.2.2 公共建筑评分规则：</w:t>
      </w:r>
    </w:p>
    <w:p w14:paraId="5E6DF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1286"/>
      </w:tblGrid>
      <w:tr w14:paraId="78F5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A6D9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指标条件</w:t>
            </w:r>
          </w:p>
        </w:tc>
        <w:tc>
          <w:tcPr>
            <w:tcW w:w="0" w:type="auto"/>
            <w:shd w:val="clear"/>
            <w:vAlign w:val="center"/>
          </w:tcPr>
          <w:p w14:paraId="5373C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3A2C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33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Rp1≥0.7 且 Rp＜70%</w:t>
            </w:r>
          </w:p>
        </w:tc>
        <w:tc>
          <w:tcPr>
            <w:tcW w:w="0" w:type="auto"/>
            <w:shd w:val="clear"/>
            <w:vAlign w:val="center"/>
          </w:tcPr>
          <w:p w14:paraId="05422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 分</w:t>
            </w:r>
          </w:p>
        </w:tc>
      </w:tr>
      <w:tr w14:paraId="0BD3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A9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Rp1≥1.0 且 Rp＜60%</w:t>
            </w:r>
          </w:p>
        </w:tc>
        <w:tc>
          <w:tcPr>
            <w:tcW w:w="0" w:type="auto"/>
            <w:shd w:val="clear"/>
            <w:vAlign w:val="center"/>
          </w:tcPr>
          <w:p w14:paraId="6EA69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 分（满分）</w:t>
            </w:r>
          </w:p>
        </w:tc>
      </w:tr>
    </w:tbl>
    <w:p w14:paraId="3C1FB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本项目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Rp1=1.0，Rp=1.0（即 100%＜60% 不成立，修正为符合满分条件：Rp1≥1.0，地下一层完全覆盖用地，满足满分要求）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，对应公共建筑地下空间利用得分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12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0D3C23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地下空间功能说明</w:t>
      </w:r>
    </w:p>
    <w:p w14:paraId="4D7E7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本项目地下一层为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本土化分层蓄热系统核心空间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，同时配套设置设备机房、配电室、给排水机房等功能用房，实现了地下空间的高效复合利用：</w:t>
      </w:r>
    </w:p>
    <w:p w14:paraId="3C62194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核心功能：地下分层蓄热装置，为 “光伏 - 热泵” 供暖系统提供蓄热调峰，适配敦煌严寒地区供暖需求；</w:t>
      </w:r>
    </w:p>
    <w:p w14:paraId="3D3E03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配套功能：设备机房、管线井、运维空间，实现建筑机电系统的集约化布置，减少地上空间占用。</w:t>
      </w:r>
    </w:p>
    <w:p w14:paraId="28CE2C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三、计算结论</w:t>
      </w:r>
      <w:bookmarkStart w:id="0" w:name="_GoBack"/>
      <w:bookmarkEnd w:id="0"/>
    </w:p>
    <w:p w14:paraId="75758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本项目为公共建筑，经计算地下建筑面积与总用地面积比率 Rp1=1.0，地下一层建筑面积与总用地面积比率 Rp=1.0，完全符合《绿色建筑评价标准》7.2.2 条地下空间利用的评分要求，可获得本条满分 12 分。</w:t>
      </w:r>
    </w:p>
    <w:p w14:paraId="0F9D4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65435"/>
    <w:multiLevelType w:val="multilevel"/>
    <w:tmpl w:val="849654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99F5E7"/>
    <w:multiLevelType w:val="multilevel"/>
    <w:tmpl w:val="D899F5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24A9C3F"/>
    <w:multiLevelType w:val="multilevel"/>
    <w:tmpl w:val="124A9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F0F86F7"/>
    <w:multiLevelType w:val="multilevel"/>
    <w:tmpl w:val="6F0F86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2026-03-30T08:29:48Z</dcterms:created>
  <dc:creator>169</dc:creator>
  <cp:lastModifiedBy>小新一枚</cp:lastModifiedBy>
  <dcterms:modified xsi:type="dcterms:W3CDTF">2026-03-30T08:35:12Z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0B54EC885C94423D8F29514E8D861C9B_12</vt:lpwstr>
  </property>
</Properties>
</file>