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5A9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敦煌市阳关镇学校实验楼室内热湿环境模拟分析报告</w:t>
      </w:r>
    </w:p>
    <w:p w14:paraId="587A4D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一、模拟依据</w:t>
      </w:r>
    </w:p>
    <w:p w14:paraId="31569CA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《民用建筑室内热湿环境评价标准》GB/T 50785</w:t>
      </w:r>
    </w:p>
    <w:p w14:paraId="24B3C0C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敦煌市典型气象年数据</w:t>
      </w:r>
    </w:p>
    <w:p w14:paraId="7F1CD12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建筑与通风系统设计参数</w:t>
      </w:r>
    </w:p>
    <w:p w14:paraId="7A5F0F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二、模拟工况</w:t>
      </w:r>
    </w:p>
    <w:p w14:paraId="36B63DD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自然通风工况：过渡季（3-5 月、9-11 月），外窗开启率≥50%，机械补风辅助；</w:t>
      </w:r>
    </w:p>
    <w:p w14:paraId="69D3034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复合通风工况：夏季（6-8 月），外窗 + 机械通风联合运行；</w:t>
      </w:r>
    </w:p>
    <w:p w14:paraId="24BDD4F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空调工况：设备机房等特殊区域，夏季供冷。</w:t>
      </w:r>
    </w:p>
    <w:p w14:paraId="6DB2F0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三、模拟结果主要功能房间（教室、实验室、办公室）达到适应性热舒适区域（PMV=-0.5~0.5，PPD≤10%）的时间比例为 65%，满足≥60% 要求。</w:t>
      </w:r>
    </w:p>
    <w:p w14:paraId="4D7445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四、结论室内热湿环境舒适达标，符合评分项要求。</w:t>
      </w:r>
    </w:p>
    <w:p w14:paraId="0E08E2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5F408B"/>
    <w:multiLevelType w:val="multilevel"/>
    <w:tmpl w:val="9A5F408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6730B85"/>
    <w:multiLevelType w:val="multilevel"/>
    <w:tmpl w:val="D6730B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2026-03-30T08:14:51Z</dcterms:created>
  <dc:creator>HW</dc:creator>
  <cp:lastModifiedBy>余味</cp:lastModifiedBy>
  <dcterms:modified xsi:type="dcterms:W3CDTF">2026-03-30T08:19:01Z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62FB563CC16548B9A2A49530C58CC8E1_12</vt:lpwstr>
  </property>
</Properties>
</file>