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DE4E">
      <w:r>
        <w:rPr>
          <w:rFonts w:hint="eastAsia"/>
        </w:rPr>
        <w:t>本项目为敦煌阳关镇学校实验楼，围护结构内表面无结露风险，屋面、外墙内部无冷凝现象，屋顶和外墙隔热性能满足《民用建筑热工设计规范》GB 50176 要求，完全符合《绿色建筑评价标准》GB/T 50378-2024 第 5.1.7 条控制项要求，判定为达标。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2026-03-29T01:59:55Z</dcterms:created>
  <dc:creator>HW</dc:creator>
  <cp:lastModifiedBy>余味</cp:lastModifiedBy>
  <dcterms:modified xsi:type="dcterms:W3CDTF">2026-03-29T02:02:19Z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8FD5A12398FA48E8A792D53A3D370B1E_12</vt:lpwstr>
  </property>
</Properties>
</file>