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7F900">
      <w:pPr>
        <w:rPr>
          <w:rFonts w:hint="eastAsia"/>
        </w:rPr>
      </w:pPr>
      <w:r>
        <w:rPr>
          <w:rFonts w:hint="eastAsia"/>
        </w:rPr>
        <w:t>敦煌市阳关镇学校实验楼项目结构材料耐久性统计</w:t>
      </w:r>
    </w:p>
    <w:p w14:paraId="39D4F3FF">
      <w:pPr>
        <w:rPr>
          <w:rFonts w:hint="eastAsia"/>
        </w:rPr>
      </w:pPr>
      <w:r>
        <w:rPr>
          <w:rFonts w:hint="eastAsia"/>
        </w:rPr>
        <w:t>混凝土构件：采用 C40 高性能耐腐蚀混凝土，抗冻等级≥F200，抗渗等级≥P8；钢筋保护层厚度提高至规范要求的 1.2 倍，满足 100 年耐久性设计要求。</w:t>
      </w:r>
    </w:p>
    <w:p w14:paraId="279BF0C2">
      <w:pPr>
        <w:rPr>
          <w:rFonts w:hint="eastAsia"/>
        </w:rPr>
      </w:pPr>
      <w:r>
        <w:rPr>
          <w:rFonts w:hint="eastAsia"/>
        </w:rPr>
        <w:t>结构体系：钢筋混凝土框架结构，设计使用年限按 100 年复核，构件截面与配筋满足长期荷载与环境作用要求。</w:t>
      </w:r>
    </w:p>
    <w:p w14:paraId="35E99535">
      <w:r>
        <w:rPr>
          <w:rFonts w:hint="eastAsia"/>
        </w:rPr>
        <w:t>地域适配：针对敦煌严寒、高风沙、盐渍土环境，优化混凝土抗冻融、抗渗透性能，避免环境因素导致结构劣化。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6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2026-03-28T16:11:16Z</dcterms:created>
  <dc:creator>HW</dc:creator>
  <cp:lastModifiedBy>余味</cp:lastModifiedBy>
  <dcterms:modified xsi:type="dcterms:W3CDTF">2026-03-28T16:11:21Z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5D4E58E0DD2A4072ABDCBFE5FB87D744_12</vt:lpwstr>
  </property>
</Properties>
</file>