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BD4A">
      <w:r>
        <w:rPr>
          <w:rFonts w:hint="eastAsia"/>
        </w:rPr>
        <w:t>本项目为设计阶段，暂无实体检测报告；设计文件明确选用符合国家现行标准的高耐久装饰装修材料，外饰面材料抗冻≥F200、抗紫外线≥5 级，防水密封材料耐候、耐低温，室内材料耐磨、易维护，性能满足规范与地域适配要求。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1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2026-03-28T16:17:37Z</dcterms:created>
  <dc:creator>HW</dc:creator>
  <cp:lastModifiedBy>余味</cp:lastModifiedBy>
  <dcterms:modified xsi:type="dcterms:W3CDTF">2026-03-28T16:18:18Z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0C5CD389A9D949E6B1EC9CD95F820065_12</vt:lpwstr>
  </property>
</Properties>
</file>