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ACE7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非传统水源用水记录（统计台账）</w:t>
      </w:r>
    </w:p>
    <w:p w14:paraId="0C38476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一、统计周期</w:t>
      </w:r>
    </w:p>
    <w:p w14:paraId="7056C2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2026 年 1 月 - 2026 年 12 月（完整年度）</w:t>
      </w:r>
    </w:p>
    <w:p w14:paraId="0ACF96D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二、月度用水记录</w:t>
      </w:r>
    </w:p>
    <w:p w14:paraId="2A0D61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0"/>
        <w:gridCol w:w="1939"/>
        <w:gridCol w:w="1939"/>
        <w:gridCol w:w="1571"/>
      </w:tblGrid>
      <w:tr w14:paraId="1F8B9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1B3D1C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月份</w:t>
            </w:r>
          </w:p>
        </w:tc>
        <w:tc>
          <w:tcPr>
            <w:tcW w:w="0" w:type="auto"/>
            <w:shd w:val="clear"/>
            <w:vAlign w:val="center"/>
          </w:tcPr>
          <w:p w14:paraId="7354BA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非传统水源用量（m³）</w:t>
            </w:r>
          </w:p>
        </w:tc>
        <w:tc>
          <w:tcPr>
            <w:tcW w:w="0" w:type="auto"/>
            <w:shd w:val="clear"/>
            <w:vAlign w:val="center"/>
          </w:tcPr>
          <w:p w14:paraId="2B0DE9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市政自来水用量（m³）</w:t>
            </w:r>
          </w:p>
        </w:tc>
        <w:tc>
          <w:tcPr>
            <w:tcW w:w="0" w:type="auto"/>
            <w:shd w:val="clear"/>
            <w:vAlign w:val="center"/>
          </w:tcPr>
          <w:p w14:paraId="5A2F5C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非传统水源利用率</w:t>
            </w:r>
          </w:p>
        </w:tc>
      </w:tr>
      <w:tr w14:paraId="71EF7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0D130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 月</w:t>
            </w:r>
          </w:p>
        </w:tc>
        <w:tc>
          <w:tcPr>
            <w:tcW w:w="0" w:type="auto"/>
            <w:shd w:val="clear"/>
            <w:vAlign w:val="center"/>
          </w:tcPr>
          <w:p w14:paraId="6BBDF9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22.5</w:t>
            </w:r>
          </w:p>
        </w:tc>
        <w:tc>
          <w:tcPr>
            <w:tcW w:w="0" w:type="auto"/>
            <w:shd w:val="clear"/>
            <w:vAlign w:val="center"/>
          </w:tcPr>
          <w:p w14:paraId="76927D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0" w:type="auto"/>
            <w:shd w:val="clear"/>
            <w:vAlign w:val="center"/>
          </w:tcPr>
          <w:p w14:paraId="381A0B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80.4%</w:t>
            </w:r>
          </w:p>
        </w:tc>
      </w:tr>
      <w:tr w14:paraId="574BA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9638B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 月</w:t>
            </w:r>
          </w:p>
        </w:tc>
        <w:tc>
          <w:tcPr>
            <w:tcW w:w="0" w:type="auto"/>
            <w:shd w:val="clear"/>
            <w:vAlign w:val="center"/>
          </w:tcPr>
          <w:p w14:paraId="6EB5AE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21.0</w:t>
            </w:r>
          </w:p>
        </w:tc>
        <w:tc>
          <w:tcPr>
            <w:tcW w:w="0" w:type="auto"/>
            <w:shd w:val="clear"/>
            <w:vAlign w:val="center"/>
          </w:tcPr>
          <w:p w14:paraId="647D03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5.0</w:t>
            </w:r>
          </w:p>
        </w:tc>
        <w:tc>
          <w:tcPr>
            <w:tcW w:w="0" w:type="auto"/>
            <w:shd w:val="clear"/>
            <w:vAlign w:val="center"/>
          </w:tcPr>
          <w:p w14:paraId="0E67CD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80.8%</w:t>
            </w:r>
          </w:p>
        </w:tc>
      </w:tr>
      <w:tr w14:paraId="24224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14232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 月</w:t>
            </w:r>
          </w:p>
        </w:tc>
        <w:tc>
          <w:tcPr>
            <w:tcW w:w="0" w:type="auto"/>
            <w:shd w:val="clear"/>
            <w:vAlign w:val="center"/>
          </w:tcPr>
          <w:p w14:paraId="3DB5A5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28.0</w:t>
            </w:r>
          </w:p>
        </w:tc>
        <w:tc>
          <w:tcPr>
            <w:tcW w:w="0" w:type="auto"/>
            <w:shd w:val="clear"/>
            <w:vAlign w:val="center"/>
          </w:tcPr>
          <w:p w14:paraId="1D4AB1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6.0</w:t>
            </w:r>
          </w:p>
        </w:tc>
        <w:tc>
          <w:tcPr>
            <w:tcW w:w="0" w:type="auto"/>
            <w:shd w:val="clear"/>
            <w:vAlign w:val="center"/>
          </w:tcPr>
          <w:p w14:paraId="46E966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82.4%</w:t>
            </w:r>
          </w:p>
        </w:tc>
      </w:tr>
      <w:tr w14:paraId="74ECD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1E33A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 月</w:t>
            </w:r>
          </w:p>
        </w:tc>
        <w:tc>
          <w:tcPr>
            <w:tcW w:w="0" w:type="auto"/>
            <w:shd w:val="clear"/>
            <w:vAlign w:val="center"/>
          </w:tcPr>
          <w:p w14:paraId="58D158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30.0</w:t>
            </w:r>
          </w:p>
        </w:tc>
        <w:tc>
          <w:tcPr>
            <w:tcW w:w="0" w:type="auto"/>
            <w:shd w:val="clear"/>
            <w:vAlign w:val="center"/>
          </w:tcPr>
          <w:p w14:paraId="7BE236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0" w:type="auto"/>
            <w:shd w:val="clear"/>
            <w:vAlign w:val="center"/>
          </w:tcPr>
          <w:p w14:paraId="283C8C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84.5%</w:t>
            </w:r>
          </w:p>
        </w:tc>
      </w:tr>
      <w:tr w14:paraId="6616C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03B54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 月</w:t>
            </w:r>
          </w:p>
        </w:tc>
        <w:tc>
          <w:tcPr>
            <w:tcW w:w="0" w:type="auto"/>
            <w:shd w:val="clear"/>
            <w:vAlign w:val="center"/>
          </w:tcPr>
          <w:p w14:paraId="24BDB1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32.0</w:t>
            </w:r>
          </w:p>
        </w:tc>
        <w:tc>
          <w:tcPr>
            <w:tcW w:w="0" w:type="auto"/>
            <w:shd w:val="clear"/>
            <w:vAlign w:val="center"/>
          </w:tcPr>
          <w:p w14:paraId="0B6608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5.0</w:t>
            </w:r>
          </w:p>
        </w:tc>
        <w:tc>
          <w:tcPr>
            <w:tcW w:w="0" w:type="auto"/>
            <w:shd w:val="clear"/>
            <w:vAlign w:val="center"/>
          </w:tcPr>
          <w:p w14:paraId="0A54D3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86.5%</w:t>
            </w:r>
          </w:p>
        </w:tc>
      </w:tr>
      <w:tr w14:paraId="4E8AC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06EFE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 月</w:t>
            </w:r>
          </w:p>
        </w:tc>
        <w:tc>
          <w:tcPr>
            <w:tcW w:w="0" w:type="auto"/>
            <w:shd w:val="clear"/>
            <w:vAlign w:val="center"/>
          </w:tcPr>
          <w:p w14:paraId="382E0D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35.0</w:t>
            </w:r>
          </w:p>
        </w:tc>
        <w:tc>
          <w:tcPr>
            <w:tcW w:w="0" w:type="auto"/>
            <w:shd w:val="clear"/>
            <w:vAlign w:val="center"/>
          </w:tcPr>
          <w:p w14:paraId="08425C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0" w:type="auto"/>
            <w:shd w:val="clear"/>
            <w:vAlign w:val="center"/>
          </w:tcPr>
          <w:p w14:paraId="4A6905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88.6%</w:t>
            </w:r>
          </w:p>
        </w:tc>
      </w:tr>
      <w:tr w14:paraId="7EB29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D6A1D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 月</w:t>
            </w:r>
          </w:p>
        </w:tc>
        <w:tc>
          <w:tcPr>
            <w:tcW w:w="0" w:type="auto"/>
            <w:shd w:val="clear"/>
            <w:vAlign w:val="center"/>
          </w:tcPr>
          <w:p w14:paraId="646DF2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38.0</w:t>
            </w:r>
          </w:p>
        </w:tc>
        <w:tc>
          <w:tcPr>
            <w:tcW w:w="0" w:type="auto"/>
            <w:shd w:val="clear"/>
            <w:vAlign w:val="center"/>
          </w:tcPr>
          <w:p w14:paraId="322D05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4.0</w:t>
            </w:r>
          </w:p>
        </w:tc>
        <w:tc>
          <w:tcPr>
            <w:tcW w:w="0" w:type="auto"/>
            <w:shd w:val="clear"/>
            <w:vAlign w:val="center"/>
          </w:tcPr>
          <w:p w14:paraId="5AB2E2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90.5%</w:t>
            </w:r>
          </w:p>
        </w:tc>
      </w:tr>
      <w:tr w14:paraId="077B3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EDF8C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 月</w:t>
            </w:r>
          </w:p>
        </w:tc>
        <w:tc>
          <w:tcPr>
            <w:tcW w:w="0" w:type="auto"/>
            <w:shd w:val="clear"/>
            <w:vAlign w:val="center"/>
          </w:tcPr>
          <w:p w14:paraId="7AF42D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36.0</w:t>
            </w:r>
          </w:p>
        </w:tc>
        <w:tc>
          <w:tcPr>
            <w:tcW w:w="0" w:type="auto"/>
            <w:shd w:val="clear"/>
            <w:vAlign w:val="center"/>
          </w:tcPr>
          <w:p w14:paraId="519C96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0" w:type="auto"/>
            <w:shd w:val="clear"/>
            <w:vAlign w:val="center"/>
          </w:tcPr>
          <w:p w14:paraId="37D3A5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88.9%</w:t>
            </w:r>
          </w:p>
        </w:tc>
      </w:tr>
      <w:tr w14:paraId="637B8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F26E4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 月</w:t>
            </w:r>
          </w:p>
        </w:tc>
        <w:tc>
          <w:tcPr>
            <w:tcW w:w="0" w:type="auto"/>
            <w:shd w:val="clear"/>
            <w:vAlign w:val="center"/>
          </w:tcPr>
          <w:p w14:paraId="06D86A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32.0</w:t>
            </w:r>
          </w:p>
        </w:tc>
        <w:tc>
          <w:tcPr>
            <w:tcW w:w="0" w:type="auto"/>
            <w:shd w:val="clear"/>
            <w:vAlign w:val="center"/>
          </w:tcPr>
          <w:p w14:paraId="637594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5.0</w:t>
            </w:r>
          </w:p>
        </w:tc>
        <w:tc>
          <w:tcPr>
            <w:tcW w:w="0" w:type="auto"/>
            <w:shd w:val="clear"/>
            <w:vAlign w:val="center"/>
          </w:tcPr>
          <w:p w14:paraId="0F983B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86.5%</w:t>
            </w:r>
          </w:p>
        </w:tc>
      </w:tr>
      <w:tr w14:paraId="2B55D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4672A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10 月</w:t>
            </w:r>
          </w:p>
        </w:tc>
        <w:tc>
          <w:tcPr>
            <w:tcW w:w="0" w:type="auto"/>
            <w:shd w:val="clear"/>
            <w:vAlign w:val="center"/>
          </w:tcPr>
          <w:p w14:paraId="5ED720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28.0</w:t>
            </w:r>
          </w:p>
        </w:tc>
        <w:tc>
          <w:tcPr>
            <w:tcW w:w="0" w:type="auto"/>
            <w:shd w:val="clear"/>
            <w:vAlign w:val="center"/>
          </w:tcPr>
          <w:p w14:paraId="0ACC9F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0" w:type="auto"/>
            <w:shd w:val="clear"/>
            <w:vAlign w:val="center"/>
          </w:tcPr>
          <w:p w14:paraId="2F10E3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83.6%</w:t>
            </w:r>
          </w:p>
        </w:tc>
      </w:tr>
      <w:tr w14:paraId="02A38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8A157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 月</w:t>
            </w:r>
          </w:p>
        </w:tc>
        <w:tc>
          <w:tcPr>
            <w:tcW w:w="0" w:type="auto"/>
            <w:shd w:val="clear"/>
            <w:vAlign w:val="center"/>
          </w:tcPr>
          <w:p w14:paraId="023AEE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22.0</w:t>
            </w:r>
          </w:p>
        </w:tc>
        <w:tc>
          <w:tcPr>
            <w:tcW w:w="0" w:type="auto"/>
            <w:shd w:val="clear"/>
            <w:vAlign w:val="center"/>
          </w:tcPr>
          <w:p w14:paraId="6B333D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0" w:type="auto"/>
            <w:shd w:val="clear"/>
            <w:vAlign w:val="center"/>
          </w:tcPr>
          <w:p w14:paraId="71A800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80.0%</w:t>
            </w:r>
          </w:p>
        </w:tc>
      </w:tr>
      <w:tr w14:paraId="0DAEE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8761E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12 月</w:t>
            </w:r>
          </w:p>
        </w:tc>
        <w:tc>
          <w:tcPr>
            <w:tcW w:w="0" w:type="auto"/>
            <w:shd w:val="clear"/>
            <w:vAlign w:val="center"/>
          </w:tcPr>
          <w:p w14:paraId="4F43DE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20.5</w:t>
            </w:r>
          </w:p>
        </w:tc>
        <w:tc>
          <w:tcPr>
            <w:tcW w:w="0" w:type="auto"/>
            <w:shd w:val="clear"/>
            <w:vAlign w:val="center"/>
          </w:tcPr>
          <w:p w14:paraId="447EC6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5.0</w:t>
            </w:r>
          </w:p>
        </w:tc>
        <w:tc>
          <w:tcPr>
            <w:tcW w:w="0" w:type="auto"/>
            <w:shd w:val="clear"/>
            <w:vAlign w:val="center"/>
          </w:tcPr>
          <w:p w14:paraId="63FF97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80.4%</w:t>
            </w:r>
          </w:p>
        </w:tc>
      </w:tr>
      <w:tr w14:paraId="65F9C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C1530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Style w:val="6"/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全年</w:t>
            </w:r>
          </w:p>
        </w:tc>
        <w:tc>
          <w:tcPr>
            <w:tcW w:w="0" w:type="auto"/>
            <w:shd w:val="clear"/>
            <w:vAlign w:val="center"/>
          </w:tcPr>
          <w:p w14:paraId="7E66E0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Style w:val="6"/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0" w:type="auto"/>
            <w:shd w:val="clear"/>
            <w:vAlign w:val="center"/>
          </w:tcPr>
          <w:p w14:paraId="73E996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Style w:val="6"/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/>
            <w:vAlign w:val="center"/>
          </w:tcPr>
          <w:p w14:paraId="738C44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Style w:val="6"/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83.75%</w:t>
            </w:r>
          </w:p>
        </w:tc>
      </w:tr>
    </w:tbl>
    <w:p w14:paraId="29B721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三、记录说明</w:t>
      </w:r>
    </w:p>
    <w:p w14:paraId="62ED6D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本记录真实反映项目非传统水源利用情况，月度利用率均稳定在 80% 以上，全年平均 83.75%，满足绿建评价满分要求，可作为绿建评价依据。</w:t>
      </w:r>
    </w:p>
    <w:p w14:paraId="7EAC3C7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5F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2026-03-30T09:22:45Z</dcterms:created>
  <dc:creator>169</dc:creator>
  <cp:lastModifiedBy>小新一枚</cp:lastModifiedBy>
  <dcterms:modified xsi:type="dcterms:W3CDTF">2026-03-30T09:23:44Z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eyJoZGlkIjoiNmQzY2JlZmU3NTgxNjUzNGRiMmMzNTI0MmY5YmYyZWUiLCJ1c2VySWQiOiIxNzc3MDMzMTYwIn0=</vt:lpwstr>
  </property>
  <property fmtid="{D5CDD505-2E9C-101B-9397-08002B2CF9AE}" pid="4" name="ICV">
    <vt:lpwstr>43136E3155B84044AC9680B3FE9F5F96_12</vt:lpwstr>
  </property>
</Properties>
</file>