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3E1E">
      <w:r>
        <w:rPr>
          <w:rFonts w:hint="eastAsia"/>
        </w:rPr>
        <w:t>本项目为绿色建筑预评价阶段，处于设计阶段，暂无实体检测报告；设计文件明确步行和自行车交通系统照度满足《建筑照明设计标准》GB 50034 要求，采用高效 LED 灯具与太阳能供电，保障夜间照明充足，符合规范与绿色建筑评价要求。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2026-03-28T14:26:10Z</dcterms:created>
  <dc:creator>HW</dc:creator>
  <cp:lastModifiedBy>余味</cp:lastModifiedBy>
  <dcterms:modified xsi:type="dcterms:W3CDTF">2026-03-28T14:26:25Z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2EFF5580AA7C4962BB5F907E0025E266_12</vt:lpwstr>
  </property>
</Properties>
</file>