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082C6">
      <w:pPr>
        <w:pStyle w:val="53"/>
      </w:pPr>
    </w:p>
    <w:p w14:paraId="5E4832DA">
      <w:pPr>
        <w:pStyle w:val="53"/>
      </w:pPr>
    </w:p>
    <w:p w14:paraId="760D7E74">
      <w:pPr>
        <w:pStyle w:val="53"/>
        <w:jc w:val="distribute"/>
        <w:rPr>
          <w:b/>
          <w:sz w:val="72"/>
          <w:szCs w:val="72"/>
        </w:rPr>
      </w:pPr>
      <w:r>
        <w:rPr>
          <w:rFonts w:hint="eastAsia"/>
          <w:b/>
          <w:sz w:val="72"/>
          <w:szCs w:val="72"/>
        </w:rPr>
        <w:t>室外风环境模拟分析报告</w:t>
      </w:r>
    </w:p>
    <w:p w14:paraId="47033647">
      <w:pPr>
        <w:pStyle w:val="57"/>
        <w:spacing w:line="400" w:lineRule="exact"/>
      </w:pPr>
    </w:p>
    <w:p w14:paraId="1B84A8FF">
      <w:pPr>
        <w:pStyle w:val="57"/>
        <w:rPr>
          <w:b/>
        </w:rPr>
      </w:pPr>
      <w:bookmarkStart w:id="0" w:name="项目名称"/>
      <w:r>
        <w:t>风禾驿——基于绿色建筑理论的社区食堂设计</w:t>
      </w:r>
    </w:p>
    <w:p w14:paraId="6D9EB5C3">
      <w:pPr>
        <w:pStyle w:val="57"/>
        <w:rPr>
          <w:b/>
        </w:rPr>
      </w:pPr>
      <w:r>
        <w:rPr>
          <w:rFonts w:hint="eastAsia"/>
          <w:b/>
        </w:rPr>
        <w:t>设计编号：</w:t>
      </w:r>
      <w:bookmarkStart w:id="1" w:name="设计编号"/>
    </w:p>
    <w:p w14:paraId="1D77319D">
      <w:pPr>
        <w:pStyle w:val="57"/>
        <w:rPr>
          <w:b/>
        </w:rPr>
      </w:pPr>
    </w:p>
    <w:p w14:paraId="5DFA17E1">
      <w:pPr>
        <w:pStyle w:val="53"/>
        <w:jc w:val="center"/>
      </w:pPr>
      <w:bookmarkStart w:id="2" w:name="二维码"/>
      <w:r>
        <w:drawing>
          <wp:inline distT="0" distB="0" distL="0" distR="0">
            <wp:extent cx="1162050" cy="11620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
                    <a:stretch>
                      <a:fillRect/>
                    </a:stretch>
                  </pic:blipFill>
                  <pic:spPr>
                    <a:xfrm>
                      <a:off x="0" y="0"/>
                      <a:ext cx="1162172" cy="1162172"/>
                    </a:xfrm>
                    <a:prstGeom prst="rect">
                      <a:avLst/>
                    </a:prstGeom>
                  </pic:spPr>
                </pic:pic>
              </a:graphicData>
            </a:graphic>
          </wp:inline>
        </w:drawing>
      </w:r>
    </w:p>
    <w:p w14:paraId="65DE60CD">
      <w:pPr>
        <w:pStyle w:val="53"/>
        <w:jc w:val="center"/>
      </w:pPr>
    </w:p>
    <w:p w14:paraId="4FF28973">
      <w:pPr>
        <w:pStyle w:val="53"/>
        <w:jc w:val="center"/>
      </w:pPr>
    </w:p>
    <w:tbl>
      <w:tblPr>
        <w:tblStyle w:val="29"/>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E566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F779F3D">
            <w:pPr>
              <w:pStyle w:val="53"/>
              <w:spacing w:line="240" w:lineRule="auto"/>
              <w:jc w:val="distribute"/>
            </w:pPr>
            <w:r>
              <w:rPr>
                <w:rFonts w:hint="eastAsia"/>
              </w:rPr>
              <w:t>工程地点</w:t>
            </w:r>
          </w:p>
        </w:tc>
        <w:tc>
          <w:tcPr>
            <w:tcW w:w="475" w:type="dxa"/>
            <w:vAlign w:val="center"/>
          </w:tcPr>
          <w:p w14:paraId="23FA01F2">
            <w:pPr>
              <w:pStyle w:val="53"/>
              <w:spacing w:line="240" w:lineRule="auto"/>
              <w:ind w:right="-31" w:rightChars="-15"/>
              <w:jc w:val="center"/>
            </w:pPr>
            <w:r>
              <w:rPr>
                <w:rFonts w:hint="eastAsia"/>
              </w:rPr>
              <w:t>：</w:t>
            </w:r>
          </w:p>
        </w:tc>
        <w:tc>
          <w:tcPr>
            <w:tcW w:w="4624" w:type="dxa"/>
            <w:tcBorders>
              <w:bottom w:val="single" w:color="auto" w:sz="4" w:space="0"/>
            </w:tcBorders>
            <w:vAlign w:val="center"/>
          </w:tcPr>
          <w:p w14:paraId="0AE1362A">
            <w:pPr>
              <w:pStyle w:val="53"/>
              <w:spacing w:line="240" w:lineRule="auto"/>
              <w:jc w:val="center"/>
            </w:pPr>
            <w:bookmarkStart w:id="3" w:name="工程地点"/>
            <w:bookmarkStart w:id="4" w:name="项目地点"/>
            <w:r>
              <w:t>攀枝花</w:t>
            </w:r>
          </w:p>
        </w:tc>
      </w:tr>
      <w:tr w14:paraId="6D3D3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63454CB">
            <w:pPr>
              <w:pStyle w:val="53"/>
              <w:spacing w:line="240" w:lineRule="auto"/>
              <w:jc w:val="distribute"/>
            </w:pPr>
            <w:r>
              <w:rPr>
                <w:rFonts w:hint="eastAsia"/>
              </w:rPr>
              <w:t>建设单位</w:t>
            </w:r>
          </w:p>
        </w:tc>
        <w:tc>
          <w:tcPr>
            <w:tcW w:w="475" w:type="dxa"/>
            <w:vAlign w:val="center"/>
          </w:tcPr>
          <w:p w14:paraId="15BAF511">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0AA6DF3E">
            <w:pPr>
              <w:pStyle w:val="53"/>
              <w:spacing w:line="240" w:lineRule="auto"/>
              <w:jc w:val="center"/>
            </w:pPr>
            <w:bookmarkStart w:id="5" w:name="建设单位"/>
          </w:p>
        </w:tc>
      </w:tr>
      <w:tr w14:paraId="7D115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29E1707">
            <w:pPr>
              <w:pStyle w:val="53"/>
              <w:spacing w:line="240" w:lineRule="auto"/>
              <w:jc w:val="distribute"/>
            </w:pPr>
            <w:r>
              <w:rPr>
                <w:rFonts w:hint="eastAsia"/>
              </w:rPr>
              <w:t>设计单位</w:t>
            </w:r>
          </w:p>
        </w:tc>
        <w:tc>
          <w:tcPr>
            <w:tcW w:w="475" w:type="dxa"/>
            <w:vAlign w:val="center"/>
          </w:tcPr>
          <w:p w14:paraId="5A081AB3">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475C3553">
            <w:pPr>
              <w:pStyle w:val="53"/>
              <w:spacing w:line="240" w:lineRule="auto"/>
              <w:jc w:val="center"/>
            </w:pPr>
            <w:bookmarkStart w:id="6" w:name="设计单位"/>
          </w:p>
        </w:tc>
      </w:tr>
      <w:tr w14:paraId="24408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DE0AF5F">
            <w:pPr>
              <w:pStyle w:val="53"/>
              <w:spacing w:line="240" w:lineRule="auto"/>
              <w:jc w:val="distribute"/>
            </w:pPr>
            <w:r>
              <w:rPr>
                <w:rFonts w:hint="eastAsia"/>
              </w:rPr>
              <w:t>设计人</w:t>
            </w:r>
          </w:p>
        </w:tc>
        <w:tc>
          <w:tcPr>
            <w:tcW w:w="475" w:type="dxa"/>
            <w:vAlign w:val="center"/>
          </w:tcPr>
          <w:p w14:paraId="237B07A1">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09E7EE60">
            <w:pPr>
              <w:pStyle w:val="53"/>
              <w:spacing w:line="240" w:lineRule="auto"/>
              <w:jc w:val="center"/>
            </w:pPr>
          </w:p>
        </w:tc>
      </w:tr>
      <w:tr w14:paraId="56196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8EA143B">
            <w:pPr>
              <w:pStyle w:val="53"/>
              <w:spacing w:line="240" w:lineRule="auto"/>
              <w:jc w:val="distribute"/>
            </w:pPr>
            <w:r>
              <w:rPr>
                <w:rFonts w:hint="eastAsia"/>
              </w:rPr>
              <w:t>校对人</w:t>
            </w:r>
          </w:p>
        </w:tc>
        <w:tc>
          <w:tcPr>
            <w:tcW w:w="475" w:type="dxa"/>
            <w:vAlign w:val="center"/>
          </w:tcPr>
          <w:p w14:paraId="283CD9F0">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7F0C6F7C">
            <w:pPr>
              <w:pStyle w:val="53"/>
              <w:spacing w:line="240" w:lineRule="auto"/>
              <w:jc w:val="center"/>
            </w:pPr>
          </w:p>
        </w:tc>
      </w:tr>
      <w:tr w14:paraId="48F04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CA9E8AE">
            <w:pPr>
              <w:pStyle w:val="53"/>
              <w:spacing w:line="240" w:lineRule="auto"/>
              <w:jc w:val="distribute"/>
            </w:pPr>
            <w:r>
              <w:rPr>
                <w:rFonts w:hint="eastAsia"/>
              </w:rPr>
              <w:t>审定人</w:t>
            </w:r>
          </w:p>
        </w:tc>
        <w:tc>
          <w:tcPr>
            <w:tcW w:w="475" w:type="dxa"/>
            <w:vAlign w:val="center"/>
          </w:tcPr>
          <w:p w14:paraId="37D7DECF">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163D323F">
            <w:pPr>
              <w:pStyle w:val="53"/>
              <w:spacing w:line="240" w:lineRule="auto"/>
              <w:jc w:val="center"/>
            </w:pPr>
          </w:p>
        </w:tc>
      </w:tr>
      <w:tr w14:paraId="43C6A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3ECCF8D">
            <w:pPr>
              <w:pStyle w:val="53"/>
              <w:spacing w:line="240" w:lineRule="auto"/>
              <w:jc w:val="distribute"/>
            </w:pPr>
            <w:r>
              <w:rPr>
                <w:rFonts w:hint="eastAsia"/>
              </w:rPr>
              <w:t>报告日期</w:t>
            </w:r>
          </w:p>
        </w:tc>
        <w:tc>
          <w:tcPr>
            <w:tcW w:w="475" w:type="dxa"/>
            <w:vAlign w:val="center"/>
          </w:tcPr>
          <w:p w14:paraId="46ED987C">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59E37EAF">
            <w:pPr>
              <w:pStyle w:val="53"/>
              <w:spacing w:line="240" w:lineRule="auto"/>
              <w:jc w:val="center"/>
            </w:pPr>
            <w:bookmarkStart w:id="7" w:name="报告日期"/>
            <w:r>
              <w:t>2025年12月20日</w:t>
            </w:r>
          </w:p>
        </w:tc>
      </w:tr>
    </w:tbl>
    <w:p w14:paraId="747357A6"/>
    <w:p w14:paraId="43015EEC">
      <w:pPr>
        <w:pStyle w:val="55"/>
      </w:pPr>
    </w:p>
    <w:tbl>
      <w:tblPr>
        <w:tblStyle w:val="29"/>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12E6F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1E3737B">
            <w:pPr>
              <w:pStyle w:val="55"/>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6D9D45C">
            <w:pPr>
              <w:pStyle w:val="55"/>
              <w:rPr>
                <w:szCs w:val="18"/>
              </w:rPr>
            </w:pPr>
            <w:r>
              <w:rPr>
                <w:rFonts w:hint="eastAsia"/>
                <w:szCs w:val="18"/>
              </w:rPr>
              <w:t xml:space="preserve">: </w:t>
            </w:r>
            <w:bookmarkStart w:id="8" w:name="采用软件"/>
            <w:r>
              <w:rPr>
                <w:rFonts w:hint="eastAsia"/>
                <w:szCs w:val="18"/>
              </w:rPr>
              <w:t>建筑通风Vent2025</w:t>
            </w:r>
          </w:p>
        </w:tc>
        <w:tc>
          <w:tcPr>
            <w:tcW w:w="3958" w:type="dxa"/>
            <w:vMerge w:val="restart"/>
            <w:tcBorders>
              <w:top w:val="single" w:color="auto" w:sz="2" w:space="0"/>
              <w:left w:val="nil"/>
              <w:bottom w:val="nil"/>
              <w:right w:val="nil"/>
            </w:tcBorders>
            <w:vAlign w:val="bottom"/>
          </w:tcPr>
          <w:p w14:paraId="2FB2138F">
            <w:pPr>
              <w:pStyle w:val="55"/>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88281E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B4315AC">
            <w:pPr>
              <w:pStyle w:val="55"/>
              <w:jc w:val="distribute"/>
              <w:rPr>
                <w:szCs w:val="18"/>
              </w:rPr>
            </w:pPr>
            <w:r>
              <w:rPr>
                <w:rFonts w:hint="eastAsia"/>
                <w:szCs w:val="18"/>
              </w:rPr>
              <w:t>软件版本</w:t>
            </w:r>
          </w:p>
        </w:tc>
        <w:tc>
          <w:tcPr>
            <w:tcW w:w="3143" w:type="dxa"/>
            <w:tcBorders>
              <w:top w:val="nil"/>
              <w:left w:val="nil"/>
              <w:bottom w:val="nil"/>
              <w:right w:val="nil"/>
            </w:tcBorders>
            <w:vAlign w:val="bottom"/>
          </w:tcPr>
          <w:p w14:paraId="68E8B9AB">
            <w:pPr>
              <w:pStyle w:val="55"/>
            </w:pPr>
            <w:r>
              <w:rPr>
                <w:rFonts w:hint="eastAsia"/>
              </w:rPr>
              <w:t xml:space="preserve">: </w:t>
            </w:r>
            <w:bookmarkStart w:id="9" w:name="软件版本"/>
            <w:r>
              <w:rPr>
                <w:rFonts w:hint="eastAsia"/>
              </w:rPr>
              <w:t>20250505(PLUS)</w:t>
            </w:r>
          </w:p>
        </w:tc>
        <w:tc>
          <w:tcPr>
            <w:tcW w:w="3958" w:type="dxa"/>
            <w:vMerge w:val="continue"/>
            <w:tcBorders>
              <w:top w:val="single" w:color="auto" w:sz="2" w:space="0"/>
              <w:left w:val="nil"/>
              <w:bottom w:val="nil"/>
              <w:right w:val="nil"/>
            </w:tcBorders>
            <w:vAlign w:val="center"/>
          </w:tcPr>
          <w:p w14:paraId="273C17F9">
            <w:pPr>
              <w:spacing w:line="360" w:lineRule="exact"/>
              <w:ind w:firstLine="360"/>
              <w:rPr>
                <w:sz w:val="18"/>
                <w:szCs w:val="18"/>
              </w:rPr>
            </w:pPr>
          </w:p>
        </w:tc>
      </w:tr>
      <w:tr w14:paraId="01778CB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8404C03">
            <w:pPr>
              <w:pStyle w:val="55"/>
              <w:jc w:val="distribute"/>
              <w:rPr>
                <w:szCs w:val="18"/>
              </w:rPr>
            </w:pPr>
            <w:r>
              <w:rPr>
                <w:rFonts w:hint="eastAsia"/>
                <w:szCs w:val="18"/>
              </w:rPr>
              <w:t>正版授权码</w:t>
            </w:r>
          </w:p>
        </w:tc>
        <w:tc>
          <w:tcPr>
            <w:tcW w:w="3143" w:type="dxa"/>
            <w:tcBorders>
              <w:top w:val="nil"/>
              <w:left w:val="nil"/>
              <w:bottom w:val="nil"/>
              <w:right w:val="nil"/>
            </w:tcBorders>
            <w:vAlign w:val="bottom"/>
          </w:tcPr>
          <w:p w14:paraId="041FF75E">
            <w:pPr>
              <w:pStyle w:val="55"/>
              <w:rPr>
                <w:szCs w:val="18"/>
              </w:rPr>
            </w:pPr>
            <w:r>
              <w:rPr>
                <w:rFonts w:hint="eastAsia"/>
                <w:szCs w:val="18"/>
              </w:rPr>
              <w:t xml:space="preserve">: </w:t>
            </w:r>
            <w:bookmarkStart w:id="10" w:name="加密锁号"/>
            <w:r>
              <w:rPr>
                <w:rFonts w:hint="eastAsia"/>
                <w:szCs w:val="18"/>
              </w:rPr>
              <w:t>T19982642472</w:t>
            </w:r>
          </w:p>
        </w:tc>
        <w:tc>
          <w:tcPr>
            <w:tcW w:w="3958" w:type="dxa"/>
            <w:vMerge w:val="continue"/>
            <w:tcBorders>
              <w:top w:val="single" w:color="auto" w:sz="2" w:space="0"/>
              <w:left w:val="nil"/>
              <w:bottom w:val="nil"/>
              <w:right w:val="nil"/>
            </w:tcBorders>
            <w:vAlign w:val="center"/>
          </w:tcPr>
          <w:p w14:paraId="720259ED">
            <w:pPr>
              <w:spacing w:line="360" w:lineRule="exact"/>
              <w:ind w:firstLine="360"/>
              <w:rPr>
                <w:sz w:val="18"/>
                <w:szCs w:val="18"/>
              </w:rPr>
            </w:pPr>
          </w:p>
        </w:tc>
      </w:tr>
      <w:tr w14:paraId="6FEDF88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DD9524E">
            <w:pPr>
              <w:pStyle w:val="55"/>
              <w:jc w:val="distribute"/>
              <w:rPr>
                <w:szCs w:val="18"/>
              </w:rPr>
            </w:pPr>
            <w:r>
              <w:rPr>
                <w:rFonts w:hint="eastAsia"/>
                <w:szCs w:val="18"/>
              </w:rPr>
              <w:t>研发单位</w:t>
            </w:r>
          </w:p>
        </w:tc>
        <w:tc>
          <w:tcPr>
            <w:tcW w:w="3143" w:type="dxa"/>
            <w:tcBorders>
              <w:top w:val="nil"/>
              <w:left w:val="nil"/>
              <w:bottom w:val="nil"/>
              <w:right w:val="nil"/>
            </w:tcBorders>
            <w:vAlign w:val="bottom"/>
          </w:tcPr>
          <w:p w14:paraId="7ECEFBBF">
            <w:pPr>
              <w:pStyle w:val="55"/>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CAEB46A">
            <w:pPr>
              <w:spacing w:line="360" w:lineRule="exact"/>
              <w:ind w:firstLine="360"/>
              <w:rPr>
                <w:sz w:val="18"/>
                <w:szCs w:val="18"/>
              </w:rPr>
            </w:pPr>
          </w:p>
        </w:tc>
      </w:tr>
    </w:tbl>
    <w:p w14:paraId="39330538">
      <w:pPr>
        <w:jc w:val="center"/>
        <w:rPr>
          <w:b/>
          <w:bCs/>
          <w:sz w:val="32"/>
          <w:szCs w:val="32"/>
        </w:rPr>
      </w:pPr>
      <w:r>
        <w:rPr>
          <w:b/>
          <w:bCs/>
          <w:sz w:val="28"/>
          <w:szCs w:val="32"/>
        </w:rPr>
        <w:br w:type="page"/>
      </w:r>
      <w:r>
        <w:rPr>
          <w:rFonts w:hint="eastAsia"/>
          <w:b/>
          <w:bCs/>
          <w:sz w:val="28"/>
          <w:szCs w:val="32"/>
        </w:rPr>
        <w:t>目  录</w:t>
      </w:r>
    </w:p>
    <w:p w14:paraId="531E1DEA">
      <w:pPr>
        <w:pStyle w:val="22"/>
        <w:tabs>
          <w:tab w:val="right" w:leader="dot" w:pos="8306"/>
        </w:tabs>
      </w:pPr>
      <w:bookmarkStart w:id="11" w:name="目录"/>
      <w:r>
        <w:rPr>
          <w:rFonts w:ascii="微软雅黑" w:hAnsi="微软雅黑"/>
          <w:caps/>
        </w:rPr>
        <w:fldChar w:fldCharType="begin"/>
      </w:r>
      <w:r>
        <w:rPr>
          <w:rFonts w:ascii="微软雅黑" w:hAnsi="微软雅黑"/>
          <w:caps/>
        </w:rPr>
        <w:instrText xml:space="preserve"> TOC \o "1-2" \h \z \u </w:instrText>
      </w:r>
      <w:r>
        <w:rPr>
          <w:rFonts w:ascii="微软雅黑" w:hAnsi="微软雅黑"/>
          <w:caps/>
        </w:rPr>
        <w:fldChar w:fldCharType="separate"/>
      </w:r>
      <w:r>
        <w:rPr>
          <w:rFonts w:ascii="微软雅黑" w:hAnsi="微软雅黑"/>
          <w:caps/>
        </w:rPr>
        <w:fldChar w:fldCharType="begin"/>
      </w:r>
      <w:r>
        <w:rPr>
          <w:rFonts w:ascii="微软雅黑" w:hAnsi="微软雅黑"/>
          <w:caps/>
        </w:rPr>
        <w:instrText xml:space="preserve"> HYPERLINK \l _Toc27939 </w:instrText>
      </w:r>
      <w:r>
        <w:rPr>
          <w:rFonts w:ascii="微软雅黑" w:hAnsi="微软雅黑"/>
          <w:caps/>
        </w:rPr>
        <w:fldChar w:fldCharType="separate"/>
      </w:r>
      <w:r>
        <w:rPr>
          <w:rFonts w:hint="eastAsia" w:ascii="微软雅黑" w:hAnsi="微软雅黑" w:eastAsia="微软雅黑"/>
        </w:rPr>
        <w:t xml:space="preserve">1 </w:t>
      </w:r>
      <w:r>
        <w:rPr>
          <w:rFonts w:hint="eastAsia"/>
        </w:rPr>
        <w:t>项目概况</w:t>
      </w:r>
      <w:r>
        <w:tab/>
      </w:r>
      <w:r>
        <w:fldChar w:fldCharType="begin"/>
      </w:r>
      <w:r>
        <w:instrText xml:space="preserve"> PAGEREF _Toc27939 \h </w:instrText>
      </w:r>
      <w:r>
        <w:fldChar w:fldCharType="separate"/>
      </w:r>
      <w:r>
        <w:t>3</w:t>
      </w:r>
      <w:r>
        <w:fldChar w:fldCharType="end"/>
      </w:r>
      <w:r>
        <w:rPr>
          <w:rFonts w:ascii="微软雅黑" w:hAnsi="微软雅黑"/>
          <w:caps/>
        </w:rPr>
        <w:fldChar w:fldCharType="end"/>
      </w:r>
    </w:p>
    <w:p w14:paraId="1131DE28">
      <w:pPr>
        <w:pStyle w:val="25"/>
        <w:tabs>
          <w:tab w:val="right" w:leader="dot" w:pos="8306"/>
        </w:tabs>
      </w:pPr>
      <w:r>
        <w:rPr>
          <w:rFonts w:ascii="微软雅黑" w:hAnsi="微软雅黑"/>
          <w:caps/>
        </w:rPr>
        <w:fldChar w:fldCharType="begin"/>
      </w:r>
      <w:r>
        <w:rPr>
          <w:rFonts w:ascii="微软雅黑" w:hAnsi="微软雅黑"/>
          <w:caps/>
        </w:rPr>
        <w:instrText xml:space="preserve"> HYPERLINK \l _Toc7346 </w:instrText>
      </w:r>
      <w:r>
        <w:rPr>
          <w:rFonts w:ascii="微软雅黑" w:hAnsi="微软雅黑"/>
          <w:caps/>
        </w:rP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_Toc7346 \h </w:instrText>
      </w:r>
      <w:r>
        <w:fldChar w:fldCharType="separate"/>
      </w:r>
      <w:r>
        <w:t>3</w:t>
      </w:r>
      <w:r>
        <w:fldChar w:fldCharType="end"/>
      </w:r>
      <w:r>
        <w:rPr>
          <w:rFonts w:ascii="微软雅黑" w:hAnsi="微软雅黑"/>
          <w:caps/>
        </w:rPr>
        <w:fldChar w:fldCharType="end"/>
      </w:r>
    </w:p>
    <w:p w14:paraId="05AFBAD9">
      <w:pPr>
        <w:pStyle w:val="25"/>
        <w:tabs>
          <w:tab w:val="right" w:leader="dot" w:pos="8306"/>
        </w:tabs>
      </w:pPr>
      <w:r>
        <w:rPr>
          <w:rFonts w:ascii="微软雅黑" w:hAnsi="微软雅黑"/>
          <w:caps/>
        </w:rPr>
        <w:fldChar w:fldCharType="begin"/>
      </w:r>
      <w:r>
        <w:rPr>
          <w:rFonts w:ascii="微软雅黑" w:hAnsi="微软雅黑"/>
          <w:caps/>
        </w:rPr>
        <w:instrText xml:space="preserve"> HYPERLINK \l _Toc11781 </w:instrText>
      </w:r>
      <w:r>
        <w:rPr>
          <w:rFonts w:ascii="微软雅黑" w:hAnsi="微软雅黑"/>
          <w:caps/>
        </w:rP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_Toc11781 \h </w:instrText>
      </w:r>
      <w:r>
        <w:fldChar w:fldCharType="separate"/>
      </w:r>
      <w:r>
        <w:t>3</w:t>
      </w:r>
      <w:r>
        <w:fldChar w:fldCharType="end"/>
      </w:r>
      <w:r>
        <w:rPr>
          <w:rFonts w:ascii="微软雅黑" w:hAnsi="微软雅黑"/>
          <w:caps/>
        </w:rPr>
        <w:fldChar w:fldCharType="end"/>
      </w:r>
    </w:p>
    <w:p w14:paraId="2BB07B59">
      <w:pPr>
        <w:pStyle w:val="22"/>
        <w:tabs>
          <w:tab w:val="right" w:leader="dot" w:pos="8306"/>
        </w:tabs>
      </w:pPr>
      <w:r>
        <w:rPr>
          <w:rFonts w:ascii="微软雅黑" w:hAnsi="微软雅黑"/>
          <w:caps/>
        </w:rPr>
        <w:fldChar w:fldCharType="begin"/>
      </w:r>
      <w:r>
        <w:rPr>
          <w:rFonts w:ascii="微软雅黑" w:hAnsi="微软雅黑"/>
          <w:caps/>
        </w:rPr>
        <w:instrText xml:space="preserve"> HYPERLINK \l _Toc16055 </w:instrText>
      </w:r>
      <w:r>
        <w:rPr>
          <w:rFonts w:ascii="微软雅黑" w:hAnsi="微软雅黑"/>
          <w:caps/>
        </w:rPr>
        <w:fldChar w:fldCharType="separate"/>
      </w:r>
      <w:r>
        <w:rPr>
          <w:rFonts w:hint="eastAsia" w:ascii="微软雅黑" w:hAnsi="微软雅黑" w:eastAsia="微软雅黑"/>
        </w:rPr>
        <w:t xml:space="preserve">2 </w:t>
      </w:r>
      <w:r>
        <w:rPr>
          <w:rFonts w:hint="eastAsia"/>
        </w:rPr>
        <w:t>计算</w:t>
      </w:r>
      <w:r>
        <w:t>依据</w:t>
      </w:r>
      <w:r>
        <w:tab/>
      </w:r>
      <w:r>
        <w:fldChar w:fldCharType="begin"/>
      </w:r>
      <w:r>
        <w:instrText xml:space="preserve"> PAGEREF _Toc16055 \h </w:instrText>
      </w:r>
      <w:r>
        <w:fldChar w:fldCharType="separate"/>
      </w:r>
      <w:r>
        <w:t>4</w:t>
      </w:r>
      <w:r>
        <w:fldChar w:fldCharType="end"/>
      </w:r>
      <w:r>
        <w:rPr>
          <w:rFonts w:ascii="微软雅黑" w:hAnsi="微软雅黑"/>
          <w:caps/>
        </w:rPr>
        <w:fldChar w:fldCharType="end"/>
      </w:r>
    </w:p>
    <w:p w14:paraId="440F334A">
      <w:pPr>
        <w:pStyle w:val="22"/>
        <w:tabs>
          <w:tab w:val="right" w:leader="dot" w:pos="8306"/>
        </w:tabs>
      </w:pPr>
      <w:r>
        <w:rPr>
          <w:rFonts w:ascii="微软雅黑" w:hAnsi="微软雅黑"/>
          <w:caps/>
        </w:rPr>
        <w:fldChar w:fldCharType="begin"/>
      </w:r>
      <w:r>
        <w:rPr>
          <w:rFonts w:ascii="微软雅黑" w:hAnsi="微软雅黑"/>
          <w:caps/>
        </w:rPr>
        <w:instrText xml:space="preserve"> HYPERLINK \l _Toc4239 </w:instrText>
      </w:r>
      <w:r>
        <w:rPr>
          <w:rFonts w:ascii="微软雅黑" w:hAnsi="微软雅黑"/>
          <w:caps/>
        </w:rPr>
        <w:fldChar w:fldCharType="separate"/>
      </w:r>
      <w:r>
        <w:rPr>
          <w:rFonts w:hint="eastAsia" w:ascii="微软雅黑" w:hAnsi="微软雅黑" w:eastAsia="微软雅黑"/>
        </w:rPr>
        <w:t xml:space="preserve">3 </w:t>
      </w:r>
      <w:r>
        <w:rPr>
          <w:rFonts w:hint="eastAsia"/>
        </w:rPr>
        <w:t>参考</w:t>
      </w:r>
      <w:r>
        <w:t>标准</w:t>
      </w:r>
      <w:r>
        <w:tab/>
      </w:r>
      <w:r>
        <w:fldChar w:fldCharType="begin"/>
      </w:r>
      <w:r>
        <w:instrText xml:space="preserve"> PAGEREF _Toc4239 \h </w:instrText>
      </w:r>
      <w:r>
        <w:fldChar w:fldCharType="separate"/>
      </w:r>
      <w:r>
        <w:t>4</w:t>
      </w:r>
      <w:r>
        <w:fldChar w:fldCharType="end"/>
      </w:r>
      <w:r>
        <w:rPr>
          <w:rFonts w:ascii="微软雅黑" w:hAnsi="微软雅黑"/>
          <w:caps/>
        </w:rPr>
        <w:fldChar w:fldCharType="end"/>
      </w:r>
    </w:p>
    <w:p w14:paraId="3964B3B4">
      <w:pPr>
        <w:pStyle w:val="22"/>
        <w:tabs>
          <w:tab w:val="right" w:leader="dot" w:pos="8306"/>
        </w:tabs>
      </w:pPr>
      <w:r>
        <w:rPr>
          <w:rFonts w:ascii="微软雅黑" w:hAnsi="微软雅黑"/>
          <w:caps/>
        </w:rPr>
        <w:fldChar w:fldCharType="begin"/>
      </w:r>
      <w:r>
        <w:rPr>
          <w:rFonts w:ascii="微软雅黑" w:hAnsi="微软雅黑"/>
          <w:caps/>
        </w:rPr>
        <w:instrText xml:space="preserve"> HYPERLINK \l _Toc22897 </w:instrText>
      </w:r>
      <w:r>
        <w:rPr>
          <w:rFonts w:ascii="微软雅黑" w:hAnsi="微软雅黑"/>
          <w:caps/>
        </w:rPr>
        <w:fldChar w:fldCharType="separate"/>
      </w:r>
      <w:r>
        <w:rPr>
          <w:rFonts w:hint="eastAsia" w:ascii="微软雅黑" w:hAnsi="微软雅黑" w:eastAsia="微软雅黑"/>
        </w:rPr>
        <w:t xml:space="preserve">4 </w:t>
      </w:r>
      <w:r>
        <w:rPr>
          <w:rFonts w:hint="eastAsia"/>
        </w:rPr>
        <w:t>计算原理</w:t>
      </w:r>
      <w:r>
        <w:tab/>
      </w:r>
      <w:r>
        <w:fldChar w:fldCharType="begin"/>
      </w:r>
      <w:r>
        <w:instrText xml:space="preserve"> PAGEREF _Toc22897 \h </w:instrText>
      </w:r>
      <w:r>
        <w:fldChar w:fldCharType="separate"/>
      </w:r>
      <w:r>
        <w:t>5</w:t>
      </w:r>
      <w:r>
        <w:fldChar w:fldCharType="end"/>
      </w:r>
      <w:r>
        <w:rPr>
          <w:rFonts w:ascii="微软雅黑" w:hAnsi="微软雅黑"/>
          <w:caps/>
        </w:rPr>
        <w:fldChar w:fldCharType="end"/>
      </w:r>
    </w:p>
    <w:p w14:paraId="55C22C28">
      <w:pPr>
        <w:pStyle w:val="25"/>
        <w:tabs>
          <w:tab w:val="right" w:leader="dot" w:pos="8306"/>
        </w:tabs>
      </w:pPr>
      <w:r>
        <w:rPr>
          <w:rFonts w:ascii="微软雅黑" w:hAnsi="微软雅黑"/>
          <w:caps/>
        </w:rPr>
        <w:fldChar w:fldCharType="begin"/>
      </w:r>
      <w:r>
        <w:rPr>
          <w:rFonts w:ascii="微软雅黑" w:hAnsi="微软雅黑"/>
          <w:caps/>
        </w:rPr>
        <w:instrText xml:space="preserve"> HYPERLINK \l _Toc9471 </w:instrText>
      </w:r>
      <w:r>
        <w:rPr>
          <w:rFonts w:ascii="微软雅黑" w:hAnsi="微软雅黑"/>
          <w:caps/>
        </w:rP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_Toc9471 \h </w:instrText>
      </w:r>
      <w:r>
        <w:fldChar w:fldCharType="separate"/>
      </w:r>
      <w:r>
        <w:t>5</w:t>
      </w:r>
      <w:r>
        <w:fldChar w:fldCharType="end"/>
      </w:r>
      <w:r>
        <w:rPr>
          <w:rFonts w:ascii="微软雅黑" w:hAnsi="微软雅黑"/>
          <w:caps/>
        </w:rPr>
        <w:fldChar w:fldCharType="end"/>
      </w:r>
    </w:p>
    <w:p w14:paraId="74B3E0A7">
      <w:pPr>
        <w:pStyle w:val="25"/>
        <w:tabs>
          <w:tab w:val="right" w:leader="dot" w:pos="8306"/>
        </w:tabs>
      </w:pPr>
      <w:r>
        <w:rPr>
          <w:rFonts w:ascii="微软雅黑" w:hAnsi="微软雅黑"/>
          <w:caps/>
        </w:rPr>
        <w:fldChar w:fldCharType="begin"/>
      </w:r>
      <w:r>
        <w:rPr>
          <w:rFonts w:ascii="微软雅黑" w:hAnsi="微软雅黑"/>
          <w:caps/>
        </w:rPr>
        <w:instrText xml:space="preserve"> HYPERLINK \l _Toc27499 </w:instrText>
      </w:r>
      <w:r>
        <w:rPr>
          <w:rFonts w:ascii="微软雅黑" w:hAnsi="微软雅黑"/>
          <w:caps/>
        </w:rP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_Toc27499 \h </w:instrText>
      </w:r>
      <w:r>
        <w:fldChar w:fldCharType="separate"/>
      </w:r>
      <w:r>
        <w:t>7</w:t>
      </w:r>
      <w:r>
        <w:fldChar w:fldCharType="end"/>
      </w:r>
      <w:r>
        <w:rPr>
          <w:rFonts w:ascii="微软雅黑" w:hAnsi="微软雅黑"/>
          <w:caps/>
        </w:rPr>
        <w:fldChar w:fldCharType="end"/>
      </w:r>
    </w:p>
    <w:p w14:paraId="460E53C4">
      <w:pPr>
        <w:pStyle w:val="25"/>
        <w:tabs>
          <w:tab w:val="right" w:leader="dot" w:pos="8306"/>
        </w:tabs>
      </w:pPr>
      <w:r>
        <w:rPr>
          <w:rFonts w:ascii="微软雅黑" w:hAnsi="微软雅黑"/>
          <w:caps/>
        </w:rPr>
        <w:fldChar w:fldCharType="begin"/>
      </w:r>
      <w:r>
        <w:rPr>
          <w:rFonts w:ascii="微软雅黑" w:hAnsi="微软雅黑"/>
          <w:caps/>
        </w:rPr>
        <w:instrText xml:space="preserve"> HYPERLINK \l _Toc2514 </w:instrText>
      </w:r>
      <w:r>
        <w:rPr>
          <w:rFonts w:ascii="微软雅黑" w:hAnsi="微软雅黑"/>
          <w:caps/>
        </w:rP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_Toc2514 \h </w:instrText>
      </w:r>
      <w:r>
        <w:fldChar w:fldCharType="separate"/>
      </w:r>
      <w:r>
        <w:t>11</w:t>
      </w:r>
      <w:r>
        <w:fldChar w:fldCharType="end"/>
      </w:r>
      <w:r>
        <w:rPr>
          <w:rFonts w:ascii="微软雅黑" w:hAnsi="微软雅黑"/>
          <w:caps/>
        </w:rPr>
        <w:fldChar w:fldCharType="end"/>
      </w:r>
    </w:p>
    <w:p w14:paraId="25568B73">
      <w:pPr>
        <w:pStyle w:val="25"/>
        <w:tabs>
          <w:tab w:val="right" w:leader="dot" w:pos="8306"/>
        </w:tabs>
      </w:pPr>
      <w:r>
        <w:rPr>
          <w:rFonts w:ascii="微软雅黑" w:hAnsi="微软雅黑"/>
          <w:caps/>
        </w:rPr>
        <w:fldChar w:fldCharType="begin"/>
      </w:r>
      <w:r>
        <w:rPr>
          <w:rFonts w:ascii="微软雅黑" w:hAnsi="微软雅黑"/>
          <w:caps/>
        </w:rPr>
        <w:instrText xml:space="preserve"> HYPERLINK \l _Toc21192 </w:instrText>
      </w:r>
      <w:r>
        <w:rPr>
          <w:rFonts w:ascii="微软雅黑" w:hAnsi="微软雅黑"/>
          <w:caps/>
        </w:rP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_Toc21192 \h </w:instrText>
      </w:r>
      <w:r>
        <w:fldChar w:fldCharType="separate"/>
      </w:r>
      <w:r>
        <w:t>13</w:t>
      </w:r>
      <w:r>
        <w:fldChar w:fldCharType="end"/>
      </w:r>
      <w:r>
        <w:rPr>
          <w:rFonts w:ascii="微软雅黑" w:hAnsi="微软雅黑"/>
          <w:caps/>
        </w:rPr>
        <w:fldChar w:fldCharType="end"/>
      </w:r>
    </w:p>
    <w:p w14:paraId="2093EEB7">
      <w:pPr>
        <w:pStyle w:val="25"/>
        <w:tabs>
          <w:tab w:val="right" w:leader="dot" w:pos="8306"/>
        </w:tabs>
      </w:pPr>
      <w:r>
        <w:rPr>
          <w:rFonts w:ascii="微软雅黑" w:hAnsi="微软雅黑"/>
          <w:caps/>
        </w:rPr>
        <w:fldChar w:fldCharType="begin"/>
      </w:r>
      <w:r>
        <w:rPr>
          <w:rFonts w:ascii="微软雅黑" w:hAnsi="微软雅黑"/>
          <w:caps/>
        </w:rPr>
        <w:instrText xml:space="preserve"> HYPERLINK \l _Toc24536 </w:instrText>
      </w:r>
      <w:r>
        <w:rPr>
          <w:rFonts w:ascii="微软雅黑" w:hAnsi="微软雅黑"/>
          <w:caps/>
        </w:rP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_Toc24536 \h </w:instrText>
      </w:r>
      <w:r>
        <w:fldChar w:fldCharType="separate"/>
      </w:r>
      <w:r>
        <w:t>13</w:t>
      </w:r>
      <w:r>
        <w:fldChar w:fldCharType="end"/>
      </w:r>
      <w:r>
        <w:rPr>
          <w:rFonts w:ascii="微软雅黑" w:hAnsi="微软雅黑"/>
          <w:caps/>
        </w:rPr>
        <w:fldChar w:fldCharType="end"/>
      </w:r>
    </w:p>
    <w:p w14:paraId="10C0B1B1">
      <w:pPr>
        <w:pStyle w:val="25"/>
        <w:tabs>
          <w:tab w:val="right" w:leader="dot" w:pos="8306"/>
        </w:tabs>
      </w:pPr>
      <w:r>
        <w:rPr>
          <w:rFonts w:ascii="微软雅黑" w:hAnsi="微软雅黑"/>
          <w:caps/>
        </w:rPr>
        <w:fldChar w:fldCharType="begin"/>
      </w:r>
      <w:r>
        <w:rPr>
          <w:rFonts w:ascii="微软雅黑" w:hAnsi="微软雅黑"/>
          <w:caps/>
        </w:rPr>
        <w:instrText xml:space="preserve"> HYPERLINK \l _Toc17284 </w:instrText>
      </w:r>
      <w:r>
        <w:rPr>
          <w:rFonts w:ascii="微软雅黑" w:hAnsi="微软雅黑"/>
          <w:caps/>
        </w:rP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_Toc17284 \h </w:instrText>
      </w:r>
      <w:r>
        <w:fldChar w:fldCharType="separate"/>
      </w:r>
      <w:r>
        <w:t>14</w:t>
      </w:r>
      <w:r>
        <w:fldChar w:fldCharType="end"/>
      </w:r>
      <w:r>
        <w:rPr>
          <w:rFonts w:ascii="微软雅黑" w:hAnsi="微软雅黑"/>
          <w:caps/>
        </w:rPr>
        <w:fldChar w:fldCharType="end"/>
      </w:r>
    </w:p>
    <w:p w14:paraId="4877EA93">
      <w:pPr>
        <w:pStyle w:val="22"/>
        <w:tabs>
          <w:tab w:val="right" w:leader="dot" w:pos="8306"/>
        </w:tabs>
      </w:pPr>
      <w:r>
        <w:rPr>
          <w:rFonts w:ascii="微软雅黑" w:hAnsi="微软雅黑"/>
          <w:caps/>
        </w:rPr>
        <w:fldChar w:fldCharType="begin"/>
      </w:r>
      <w:r>
        <w:rPr>
          <w:rFonts w:ascii="微软雅黑" w:hAnsi="微软雅黑"/>
          <w:caps/>
        </w:rPr>
        <w:instrText xml:space="preserve"> HYPERLINK \l _Toc28631 </w:instrText>
      </w:r>
      <w:r>
        <w:rPr>
          <w:rFonts w:ascii="微软雅黑" w:hAnsi="微软雅黑"/>
          <w:caps/>
        </w:rPr>
        <w:fldChar w:fldCharType="separate"/>
      </w:r>
      <w:r>
        <w:rPr>
          <w:rFonts w:hint="eastAsia" w:ascii="微软雅黑" w:hAnsi="微软雅黑" w:eastAsia="微软雅黑"/>
        </w:rPr>
        <w:t xml:space="preserve">5 </w:t>
      </w:r>
      <w:r>
        <w:rPr>
          <w:rFonts w:hint="eastAsia"/>
        </w:rPr>
        <w:t>结果</w:t>
      </w:r>
      <w:r>
        <w:t>分析</w:t>
      </w:r>
      <w:r>
        <w:tab/>
      </w:r>
      <w:r>
        <w:fldChar w:fldCharType="begin"/>
      </w:r>
      <w:r>
        <w:instrText xml:space="preserve"> PAGEREF _Toc28631 \h </w:instrText>
      </w:r>
      <w:r>
        <w:fldChar w:fldCharType="separate"/>
      </w:r>
      <w:r>
        <w:t>15</w:t>
      </w:r>
      <w:r>
        <w:fldChar w:fldCharType="end"/>
      </w:r>
      <w:r>
        <w:rPr>
          <w:rFonts w:ascii="微软雅黑" w:hAnsi="微软雅黑"/>
          <w:caps/>
        </w:rPr>
        <w:fldChar w:fldCharType="end"/>
      </w:r>
    </w:p>
    <w:p w14:paraId="66EDB5DC">
      <w:pPr>
        <w:pStyle w:val="25"/>
        <w:tabs>
          <w:tab w:val="right" w:leader="dot" w:pos="8306"/>
        </w:tabs>
      </w:pPr>
      <w:r>
        <w:rPr>
          <w:rFonts w:ascii="微软雅黑" w:hAnsi="微软雅黑"/>
          <w:caps/>
        </w:rPr>
        <w:fldChar w:fldCharType="begin"/>
      </w:r>
      <w:r>
        <w:rPr>
          <w:rFonts w:ascii="微软雅黑" w:hAnsi="微软雅黑"/>
          <w:caps/>
        </w:rPr>
        <w:instrText xml:space="preserve"> HYPERLINK \l _Toc15622 </w:instrText>
      </w:r>
      <w:r>
        <w:rPr>
          <w:rFonts w:ascii="微软雅黑" w:hAnsi="微软雅黑"/>
          <w:caps/>
        </w:rPr>
        <w:fldChar w:fldCharType="separate"/>
      </w:r>
      <w:r>
        <w:rPr>
          <w:rFonts w:hint="eastAsia" w:ascii="微软雅黑" w:hAnsi="微软雅黑" w:eastAsia="微软雅黑"/>
          <w:lang w:val="en-GB"/>
        </w:rPr>
        <w:t xml:space="preserve">5.1 </w:t>
      </w:r>
      <w:r>
        <w:rPr>
          <w:rFonts w:hint="eastAsia"/>
        </w:rPr>
        <w:t>工况</w:t>
      </w:r>
      <w:r>
        <w:t>表</w:t>
      </w:r>
      <w:r>
        <w:tab/>
      </w:r>
      <w:r>
        <w:fldChar w:fldCharType="begin"/>
      </w:r>
      <w:r>
        <w:instrText xml:space="preserve"> PAGEREF _Toc15622 \h </w:instrText>
      </w:r>
      <w:r>
        <w:fldChar w:fldCharType="separate"/>
      </w:r>
      <w:r>
        <w:t>15</w:t>
      </w:r>
      <w:r>
        <w:fldChar w:fldCharType="end"/>
      </w:r>
      <w:r>
        <w:rPr>
          <w:rFonts w:ascii="微软雅黑" w:hAnsi="微软雅黑"/>
          <w:caps/>
        </w:rPr>
        <w:fldChar w:fldCharType="end"/>
      </w:r>
    </w:p>
    <w:p w14:paraId="0ED1F29A">
      <w:pPr>
        <w:pStyle w:val="25"/>
        <w:tabs>
          <w:tab w:val="right" w:leader="dot" w:pos="8306"/>
        </w:tabs>
      </w:pPr>
      <w:r>
        <w:rPr>
          <w:rFonts w:ascii="微软雅黑" w:hAnsi="微软雅黑"/>
          <w:caps/>
        </w:rPr>
        <w:fldChar w:fldCharType="begin"/>
      </w:r>
      <w:r>
        <w:rPr>
          <w:rFonts w:ascii="微软雅黑" w:hAnsi="微软雅黑"/>
          <w:caps/>
        </w:rPr>
        <w:instrText xml:space="preserve"> HYPERLINK \l _Toc5748 </w:instrText>
      </w:r>
      <w:r>
        <w:rPr>
          <w:rFonts w:ascii="微软雅黑" w:hAnsi="微软雅黑"/>
          <w:caps/>
        </w:rPr>
        <w:fldChar w:fldCharType="separate"/>
      </w:r>
      <w:r>
        <w:rPr>
          <w:rFonts w:hint="eastAsia" w:ascii="微软雅黑" w:hAnsi="微软雅黑" w:eastAsia="微软雅黑"/>
          <w:lang w:val="en-GB"/>
        </w:rPr>
        <w:t xml:space="preserve">5.2 </w:t>
      </w:r>
      <w:r>
        <w:rPr>
          <w:rFonts w:hint="eastAsia"/>
        </w:rPr>
        <w:t>冬季工况</w:t>
      </w:r>
      <w:r>
        <w:tab/>
      </w:r>
      <w:r>
        <w:fldChar w:fldCharType="begin"/>
      </w:r>
      <w:r>
        <w:instrText xml:space="preserve"> PAGEREF _Toc5748 \h </w:instrText>
      </w:r>
      <w:r>
        <w:fldChar w:fldCharType="separate"/>
      </w:r>
      <w:r>
        <w:t>15</w:t>
      </w:r>
      <w:r>
        <w:fldChar w:fldCharType="end"/>
      </w:r>
      <w:r>
        <w:rPr>
          <w:rFonts w:ascii="微软雅黑" w:hAnsi="微软雅黑"/>
          <w:caps/>
        </w:rPr>
        <w:fldChar w:fldCharType="end"/>
      </w:r>
    </w:p>
    <w:p w14:paraId="327C7C30">
      <w:pPr>
        <w:pStyle w:val="25"/>
        <w:tabs>
          <w:tab w:val="right" w:leader="dot" w:pos="8306"/>
        </w:tabs>
      </w:pPr>
      <w:r>
        <w:rPr>
          <w:rFonts w:ascii="微软雅黑" w:hAnsi="微软雅黑"/>
          <w:caps/>
        </w:rPr>
        <w:fldChar w:fldCharType="begin"/>
      </w:r>
      <w:r>
        <w:rPr>
          <w:rFonts w:ascii="微软雅黑" w:hAnsi="微软雅黑"/>
          <w:caps/>
        </w:rPr>
        <w:instrText xml:space="preserve"> HYPERLINK \l _Toc24809 </w:instrText>
      </w:r>
      <w:r>
        <w:rPr>
          <w:rFonts w:ascii="微软雅黑" w:hAnsi="微软雅黑"/>
          <w:caps/>
        </w:rPr>
        <w:fldChar w:fldCharType="separate"/>
      </w:r>
      <w:r>
        <w:rPr>
          <w:rFonts w:hint="eastAsia" w:ascii="微软雅黑" w:hAnsi="微软雅黑" w:eastAsia="微软雅黑"/>
          <w:lang w:val="en-GB"/>
        </w:rPr>
        <w:t xml:space="preserve">5.3 </w:t>
      </w:r>
      <w:r>
        <w:rPr>
          <w:rFonts w:hint="eastAsia"/>
        </w:rPr>
        <w:t>夏季工况</w:t>
      </w:r>
      <w:r>
        <w:tab/>
      </w:r>
      <w:r>
        <w:fldChar w:fldCharType="begin"/>
      </w:r>
      <w:r>
        <w:instrText xml:space="preserve"> PAGEREF _Toc24809 \h </w:instrText>
      </w:r>
      <w:r>
        <w:fldChar w:fldCharType="separate"/>
      </w:r>
      <w:r>
        <w:t>21</w:t>
      </w:r>
      <w:r>
        <w:fldChar w:fldCharType="end"/>
      </w:r>
      <w:r>
        <w:rPr>
          <w:rFonts w:ascii="微软雅黑" w:hAnsi="微软雅黑"/>
          <w:caps/>
        </w:rPr>
        <w:fldChar w:fldCharType="end"/>
      </w:r>
    </w:p>
    <w:p w14:paraId="0A1FF15D">
      <w:pPr>
        <w:pStyle w:val="25"/>
        <w:tabs>
          <w:tab w:val="right" w:leader="dot" w:pos="8306"/>
        </w:tabs>
      </w:pPr>
      <w:r>
        <w:rPr>
          <w:rFonts w:ascii="微软雅黑" w:hAnsi="微软雅黑"/>
          <w:caps/>
        </w:rPr>
        <w:fldChar w:fldCharType="begin"/>
      </w:r>
      <w:r>
        <w:rPr>
          <w:rFonts w:ascii="微软雅黑" w:hAnsi="微软雅黑"/>
          <w:caps/>
        </w:rPr>
        <w:instrText xml:space="preserve"> HYPERLINK \l _Toc28730 </w:instrText>
      </w:r>
      <w:r>
        <w:rPr>
          <w:rFonts w:ascii="微软雅黑" w:hAnsi="微软雅黑"/>
          <w:caps/>
        </w:rPr>
        <w:fldChar w:fldCharType="separate"/>
      </w:r>
      <w:r>
        <w:rPr>
          <w:rFonts w:hint="eastAsia" w:ascii="微软雅黑" w:hAnsi="微软雅黑" w:eastAsia="微软雅黑"/>
          <w:lang w:val="en-GB"/>
        </w:rPr>
        <w:t xml:space="preserve">5.4 </w:t>
      </w:r>
      <w:r>
        <w:rPr>
          <w:rFonts w:hint="eastAsia"/>
        </w:rPr>
        <w:t>过渡季工况</w:t>
      </w:r>
      <w:r>
        <w:tab/>
      </w:r>
      <w:r>
        <w:fldChar w:fldCharType="begin"/>
      </w:r>
      <w:r>
        <w:instrText xml:space="preserve"> PAGEREF _Toc28730 \h </w:instrText>
      </w:r>
      <w:r>
        <w:fldChar w:fldCharType="separate"/>
      </w:r>
      <w:r>
        <w:t>24</w:t>
      </w:r>
      <w:r>
        <w:fldChar w:fldCharType="end"/>
      </w:r>
      <w:r>
        <w:rPr>
          <w:rFonts w:ascii="微软雅黑" w:hAnsi="微软雅黑"/>
          <w:caps/>
        </w:rPr>
        <w:fldChar w:fldCharType="end"/>
      </w:r>
    </w:p>
    <w:p w14:paraId="7B88CF13">
      <w:pPr>
        <w:pStyle w:val="22"/>
        <w:tabs>
          <w:tab w:val="right" w:leader="dot" w:pos="8306"/>
        </w:tabs>
      </w:pPr>
      <w:r>
        <w:rPr>
          <w:rFonts w:ascii="微软雅黑" w:hAnsi="微软雅黑"/>
          <w:caps/>
        </w:rPr>
        <w:fldChar w:fldCharType="begin"/>
      </w:r>
      <w:r>
        <w:rPr>
          <w:rFonts w:ascii="微软雅黑" w:hAnsi="微软雅黑"/>
          <w:caps/>
        </w:rPr>
        <w:instrText xml:space="preserve"> HYPERLINK \l _Toc23911 </w:instrText>
      </w:r>
      <w:r>
        <w:rPr>
          <w:rFonts w:ascii="微软雅黑" w:hAnsi="微软雅黑"/>
          <w:caps/>
        </w:rP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_Toc23911 \h </w:instrText>
      </w:r>
      <w:r>
        <w:fldChar w:fldCharType="separate"/>
      </w:r>
      <w:r>
        <w:t>27</w:t>
      </w:r>
      <w:r>
        <w:fldChar w:fldCharType="end"/>
      </w:r>
      <w:r>
        <w:rPr>
          <w:rFonts w:ascii="微软雅黑" w:hAnsi="微软雅黑"/>
          <w:caps/>
        </w:rPr>
        <w:fldChar w:fldCharType="end"/>
      </w:r>
    </w:p>
    <w:p w14:paraId="5EFC3A62">
      <w:pPr>
        <w:pStyle w:val="25"/>
        <w:tabs>
          <w:tab w:val="right" w:leader="dot" w:pos="8306"/>
        </w:tabs>
      </w:pPr>
      <w:r>
        <w:rPr>
          <w:rFonts w:ascii="微软雅黑" w:hAnsi="微软雅黑"/>
          <w:caps/>
        </w:rPr>
        <w:fldChar w:fldCharType="begin"/>
      </w:r>
      <w:r>
        <w:rPr>
          <w:rFonts w:ascii="微软雅黑" w:hAnsi="微软雅黑"/>
          <w:caps/>
        </w:rPr>
        <w:instrText xml:space="preserve"> HYPERLINK \l _Toc20210 </w:instrText>
      </w:r>
      <w:r>
        <w:rPr>
          <w:rFonts w:ascii="微软雅黑" w:hAnsi="微软雅黑"/>
          <w:caps/>
        </w:rPr>
        <w:fldChar w:fldCharType="separate"/>
      </w:r>
      <w:r>
        <w:rPr>
          <w:rFonts w:hint="eastAsia" w:ascii="微软雅黑" w:hAnsi="微软雅黑" w:eastAsia="微软雅黑"/>
          <w:lang w:val="en-GB"/>
        </w:rPr>
        <w:t xml:space="preserve">6.1 </w:t>
      </w:r>
      <w:r>
        <w:rPr>
          <w:rFonts w:hint="eastAsia"/>
        </w:rPr>
        <w:t>冬季工况达标判断</w:t>
      </w:r>
      <w:r>
        <w:tab/>
      </w:r>
      <w:r>
        <w:fldChar w:fldCharType="begin"/>
      </w:r>
      <w:r>
        <w:instrText xml:space="preserve"> PAGEREF _Toc20210 \h </w:instrText>
      </w:r>
      <w:r>
        <w:fldChar w:fldCharType="separate"/>
      </w:r>
      <w:r>
        <w:t>27</w:t>
      </w:r>
      <w:r>
        <w:fldChar w:fldCharType="end"/>
      </w:r>
      <w:r>
        <w:rPr>
          <w:rFonts w:ascii="微软雅黑" w:hAnsi="微软雅黑"/>
          <w:caps/>
        </w:rPr>
        <w:fldChar w:fldCharType="end"/>
      </w:r>
    </w:p>
    <w:p w14:paraId="6B04C66C">
      <w:pPr>
        <w:pStyle w:val="25"/>
        <w:tabs>
          <w:tab w:val="right" w:leader="dot" w:pos="8306"/>
        </w:tabs>
      </w:pPr>
      <w:r>
        <w:rPr>
          <w:rFonts w:ascii="微软雅黑" w:hAnsi="微软雅黑"/>
          <w:caps/>
        </w:rPr>
        <w:fldChar w:fldCharType="begin"/>
      </w:r>
      <w:r>
        <w:rPr>
          <w:rFonts w:ascii="微软雅黑" w:hAnsi="微软雅黑"/>
          <w:caps/>
        </w:rPr>
        <w:instrText xml:space="preserve"> HYPERLINK \l _Toc28622 </w:instrText>
      </w:r>
      <w:r>
        <w:rPr>
          <w:rFonts w:ascii="微软雅黑" w:hAnsi="微软雅黑"/>
          <w:caps/>
        </w:rPr>
        <w:fldChar w:fldCharType="separate"/>
      </w:r>
      <w:r>
        <w:rPr>
          <w:rFonts w:hint="eastAsia" w:ascii="微软雅黑" w:hAnsi="微软雅黑" w:eastAsia="微软雅黑"/>
          <w:lang w:val="en-GB"/>
        </w:rPr>
        <w:t xml:space="preserve">6.2 </w:t>
      </w:r>
      <w:r>
        <w:rPr>
          <w:rFonts w:hint="eastAsia"/>
        </w:rPr>
        <w:t>过渡季、夏季工况达标判断</w:t>
      </w:r>
      <w:r>
        <w:tab/>
      </w:r>
      <w:r>
        <w:fldChar w:fldCharType="begin"/>
      </w:r>
      <w:r>
        <w:instrText xml:space="preserve"> PAGEREF _Toc28622 \h </w:instrText>
      </w:r>
      <w:r>
        <w:fldChar w:fldCharType="separate"/>
      </w:r>
      <w:r>
        <w:t>27</w:t>
      </w:r>
      <w:r>
        <w:fldChar w:fldCharType="end"/>
      </w:r>
      <w:r>
        <w:rPr>
          <w:rFonts w:ascii="微软雅黑" w:hAnsi="微软雅黑"/>
          <w:caps/>
        </w:rPr>
        <w:fldChar w:fldCharType="end"/>
      </w:r>
    </w:p>
    <w:p w14:paraId="7346C5DF">
      <w:pPr>
        <w:pStyle w:val="22"/>
        <w:tabs>
          <w:tab w:val="right" w:leader="dot" w:pos="8306"/>
        </w:tabs>
      </w:pPr>
      <w:r>
        <w:rPr>
          <w:rFonts w:ascii="微软雅黑" w:hAnsi="微软雅黑"/>
          <w:caps/>
        </w:rPr>
        <w:fldChar w:fldCharType="begin"/>
      </w:r>
      <w:r>
        <w:rPr>
          <w:rFonts w:ascii="微软雅黑" w:hAnsi="微软雅黑"/>
          <w:caps/>
        </w:rPr>
        <w:instrText xml:space="preserve"> HYPERLINK \l _Toc2733 </w:instrText>
      </w:r>
      <w:r>
        <w:rPr>
          <w:rFonts w:ascii="微软雅黑" w:hAnsi="微软雅黑"/>
          <w:caps/>
        </w:rPr>
        <w:fldChar w:fldCharType="separate"/>
      </w:r>
      <w:r>
        <w:rPr>
          <w:rFonts w:hint="eastAsia" w:ascii="微软雅黑" w:hAnsi="微软雅黑" w:eastAsia="微软雅黑"/>
        </w:rPr>
        <w:t xml:space="preserve">7 </w:t>
      </w:r>
      <w:r>
        <w:rPr>
          <w:rFonts w:hint="eastAsia"/>
        </w:rPr>
        <w:t>附录</w:t>
      </w:r>
      <w:r>
        <w:tab/>
      </w:r>
      <w:r>
        <w:fldChar w:fldCharType="begin"/>
      </w:r>
      <w:r>
        <w:instrText xml:space="preserve"> PAGEREF _Toc2733 \h </w:instrText>
      </w:r>
      <w:r>
        <w:fldChar w:fldCharType="separate"/>
      </w:r>
      <w:r>
        <w:t>28</w:t>
      </w:r>
      <w:r>
        <w:fldChar w:fldCharType="end"/>
      </w:r>
      <w:r>
        <w:rPr>
          <w:rFonts w:ascii="微软雅黑" w:hAnsi="微软雅黑"/>
          <w:caps/>
        </w:rPr>
        <w:fldChar w:fldCharType="end"/>
      </w:r>
    </w:p>
    <w:p w14:paraId="3011539C">
      <w:pPr>
        <w:pStyle w:val="25"/>
        <w:tabs>
          <w:tab w:val="right" w:leader="dot" w:pos="8306"/>
        </w:tabs>
      </w:pPr>
      <w:r>
        <w:rPr>
          <w:rFonts w:ascii="微软雅黑" w:hAnsi="微软雅黑"/>
          <w:caps/>
        </w:rPr>
        <w:fldChar w:fldCharType="begin"/>
      </w:r>
      <w:r>
        <w:rPr>
          <w:rFonts w:ascii="微软雅黑" w:hAnsi="微软雅黑"/>
          <w:caps/>
        </w:rPr>
        <w:instrText xml:space="preserve"> HYPERLINK \l _Toc26597 </w:instrText>
      </w:r>
      <w:r>
        <w:rPr>
          <w:rFonts w:ascii="微软雅黑" w:hAnsi="微软雅黑"/>
          <w:caps/>
        </w:rPr>
        <w:fldChar w:fldCharType="separate"/>
      </w:r>
      <w:r>
        <w:rPr>
          <w:rFonts w:hint="eastAsia" w:ascii="微软雅黑" w:hAnsi="微软雅黑" w:eastAsia="微软雅黑"/>
          <w:lang w:val="en-GB"/>
        </w:rPr>
        <w:t xml:space="preserve">7.1 </w:t>
      </w:r>
      <w:r>
        <w:rPr>
          <w:rFonts w:hint="eastAsia"/>
        </w:rPr>
        <w:t>参评建筑迎背风面窗平均风压差表</w:t>
      </w:r>
      <w:r>
        <w:tab/>
      </w:r>
      <w:r>
        <w:fldChar w:fldCharType="begin"/>
      </w:r>
      <w:r>
        <w:instrText xml:space="preserve"> PAGEREF _Toc26597 \h </w:instrText>
      </w:r>
      <w:r>
        <w:fldChar w:fldCharType="separate"/>
      </w:r>
      <w:r>
        <w:t>28</w:t>
      </w:r>
      <w:r>
        <w:fldChar w:fldCharType="end"/>
      </w:r>
      <w:r>
        <w:rPr>
          <w:rFonts w:ascii="微软雅黑" w:hAnsi="微软雅黑"/>
          <w:caps/>
        </w:rPr>
        <w:fldChar w:fldCharType="end"/>
      </w:r>
    </w:p>
    <w:p w14:paraId="73A1D5F7">
      <w:pPr>
        <w:pStyle w:val="25"/>
        <w:tabs>
          <w:tab w:val="right" w:leader="dot" w:pos="8306"/>
        </w:tabs>
      </w:pPr>
      <w:r>
        <w:rPr>
          <w:rFonts w:ascii="微软雅黑" w:hAnsi="微软雅黑"/>
          <w:caps/>
        </w:rPr>
        <w:fldChar w:fldCharType="begin"/>
      </w:r>
      <w:r>
        <w:rPr>
          <w:rFonts w:ascii="微软雅黑" w:hAnsi="微软雅黑"/>
          <w:caps/>
        </w:rPr>
        <w:instrText xml:space="preserve"> HYPERLINK \l _Toc5167 </w:instrText>
      </w:r>
      <w:r>
        <w:rPr>
          <w:rFonts w:ascii="微软雅黑" w:hAnsi="微软雅黑"/>
          <w:caps/>
        </w:rPr>
        <w:fldChar w:fldCharType="separate"/>
      </w:r>
      <w:r>
        <w:rPr>
          <w:rFonts w:hint="eastAsia" w:ascii="微软雅黑" w:hAnsi="微软雅黑" w:eastAsia="微软雅黑"/>
          <w:lang w:val="en-GB"/>
        </w:rPr>
        <w:t xml:space="preserve">7.2 </w:t>
      </w:r>
      <w:r>
        <w:rPr>
          <w:rFonts w:hint="eastAsia"/>
        </w:rPr>
        <w:t>不参评建筑迎背风面窗平均风压差表</w:t>
      </w:r>
      <w:r>
        <w:tab/>
      </w:r>
      <w:r>
        <w:fldChar w:fldCharType="begin"/>
      </w:r>
      <w:r>
        <w:instrText xml:space="preserve"> PAGEREF _Toc5167 \h </w:instrText>
      </w:r>
      <w:r>
        <w:fldChar w:fldCharType="separate"/>
      </w:r>
      <w:r>
        <w:t>28</w:t>
      </w:r>
      <w:r>
        <w:fldChar w:fldCharType="end"/>
      </w:r>
      <w:r>
        <w:rPr>
          <w:rFonts w:ascii="微软雅黑" w:hAnsi="微软雅黑"/>
          <w:caps/>
        </w:rPr>
        <w:fldChar w:fldCharType="end"/>
      </w:r>
    </w:p>
    <w:p w14:paraId="4615494A">
      <w:pPr>
        <w:pStyle w:val="22"/>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rPr>
          <w:rFonts w:ascii="微软雅黑" w:hAnsi="微软雅黑"/>
          <w:caps/>
        </w:rPr>
        <w:fldChar w:fldCharType="end"/>
      </w:r>
    </w:p>
    <w:p w14:paraId="25D735D8">
      <w:pPr>
        <w:pStyle w:val="2"/>
      </w:pPr>
      <w:bookmarkStart w:id="12" w:name="_Toc27939"/>
      <w:bookmarkStart w:id="13" w:name="_Toc452108759"/>
      <w:r>
        <w:rPr>
          <w:rFonts w:hint="eastAsia"/>
        </w:rPr>
        <w:t>项目概况</w:t>
      </w:r>
      <w:bookmarkEnd w:id="12"/>
    </w:p>
    <w:p w14:paraId="329BBAB4">
      <w:pPr>
        <w:pStyle w:val="3"/>
        <w:ind w:firstLine="420"/>
        <w:rPr>
          <w:rFonts w:ascii="微软雅黑" w:hAnsi="微软雅黑" w:eastAsia="微软雅黑"/>
          <w:lang w:val="en-US"/>
        </w:rPr>
      </w:pPr>
      <w:bookmarkStart w:id="14" w:name="项目概况"/>
    </w:p>
    <w:p w14:paraId="4491CC5C">
      <w:pPr>
        <w:pStyle w:val="4"/>
      </w:pPr>
      <w:bookmarkStart w:id="15" w:name="_Toc7346"/>
      <w:bookmarkStart w:id="16" w:name="_Toc452108760"/>
      <w:r>
        <w:rPr>
          <w:rFonts w:hint="eastAsia"/>
        </w:rPr>
        <w:t>总</w:t>
      </w:r>
      <w:r>
        <w:t>平面图</w:t>
      </w:r>
      <w:bookmarkEnd w:id="15"/>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3D61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0B0EEC14">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3671DAF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45195F9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4BE16015">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5988B66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1B74CD0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57E0B70E">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6EDC58C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2EE12260">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7536912F">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600B583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258EDB47">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61A2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5C9185D5">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39492E0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483F0BB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39D3C205">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7523617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6E7F8B4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6CE57EC4">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38D24B9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65EA09E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78AEEC6E">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5E15E1E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750CAA64">
      <w:pPr>
        <w:pStyle w:val="3"/>
        <w:ind w:firstLine="0" w:firstLineChars="0"/>
        <w:jc w:val="center"/>
        <w:rPr>
          <w:rFonts w:ascii="微软雅黑" w:hAnsi="微软雅黑" w:eastAsia="微软雅黑"/>
          <w:lang w:val="en-US"/>
        </w:rPr>
      </w:pPr>
    </w:p>
    <w:p w14:paraId="0816779D">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r>
        <w:drawing>
          <wp:inline distT="0" distB="0" distL="0" distR="0">
            <wp:extent cx="5667375" cy="3400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9"/>
                    <a:stretch>
                      <a:fillRect/>
                    </a:stretch>
                  </pic:blipFill>
                  <pic:spPr>
                    <a:xfrm>
                      <a:off x="0" y="0"/>
                      <a:ext cx="5667375" cy="3400425"/>
                    </a:xfrm>
                    <a:prstGeom prst="rect">
                      <a:avLst/>
                    </a:prstGeom>
                  </pic:spPr>
                </pic:pic>
              </a:graphicData>
            </a:graphic>
          </wp:inline>
        </w:drawing>
      </w:r>
    </w:p>
    <w:p w14:paraId="27F7D5CC">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总平面图</w:t>
      </w:r>
    </w:p>
    <w:p w14:paraId="25B3E2AD">
      <w:pPr>
        <w:pStyle w:val="3"/>
        <w:ind w:firstLine="420"/>
        <w:rPr>
          <w:rFonts w:ascii="微软雅黑" w:hAnsi="微软雅黑" w:eastAsia="微软雅黑"/>
          <w:lang w:val="en-US"/>
        </w:rPr>
      </w:pPr>
    </w:p>
    <w:p w14:paraId="3304F75D">
      <w:pPr>
        <w:pStyle w:val="4"/>
      </w:pPr>
      <w:bookmarkStart w:id="18" w:name="_Toc11781"/>
      <w:bookmarkStart w:id="19" w:name="_Toc452108761"/>
      <w:r>
        <w:rPr>
          <w:rFonts w:hint="eastAsia"/>
        </w:rPr>
        <w:t>三</w:t>
      </w:r>
      <w:r>
        <w:t>维视图</w:t>
      </w:r>
      <w:bookmarkEnd w:id="18"/>
    </w:p>
    <w:tbl>
      <w:tblPr>
        <w:tblStyle w:val="2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13EF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99FF"/>
          </w:tcPr>
          <w:p w14:paraId="0CAE31F4">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783230C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7AEBABE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0E0F275E">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6B7FF3A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302FF31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0236FB1E">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0C7E816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660C3350">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1C1DD70A">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67CD854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6A8D6C56">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6F50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FF00"/>
          </w:tcPr>
          <w:p w14:paraId="57541BD6">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67313EB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1EB2BB8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49533E3D">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149753E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0FD1A45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5FA683D4">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7AAC0FA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0A033AD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710C9931">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28ACF15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0B4F6BE6">
      <w:pPr>
        <w:pStyle w:val="3"/>
        <w:ind w:firstLine="0" w:firstLineChars="0"/>
        <w:jc w:val="center"/>
        <w:rPr>
          <w:rFonts w:ascii="微软雅黑" w:hAnsi="微软雅黑" w:eastAsia="微软雅黑"/>
          <w:lang w:val="en-US"/>
        </w:rPr>
      </w:pPr>
    </w:p>
    <w:p w14:paraId="27A0BAF7">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r>
        <w:drawing>
          <wp:inline distT="0" distB="0" distL="0" distR="0">
            <wp:extent cx="5667375" cy="34099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0"/>
                    <a:stretch>
                      <a:fillRect/>
                    </a:stretch>
                  </pic:blipFill>
                  <pic:spPr>
                    <a:xfrm>
                      <a:off x="0" y="0"/>
                      <a:ext cx="5667375" cy="3409950"/>
                    </a:xfrm>
                    <a:prstGeom prst="rect">
                      <a:avLst/>
                    </a:prstGeom>
                  </pic:spPr>
                </pic:pic>
              </a:graphicData>
            </a:graphic>
          </wp:inline>
        </w:drawing>
      </w:r>
    </w:p>
    <w:p w14:paraId="55BDF0D2">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三</w:t>
      </w:r>
      <w:r>
        <w:rPr>
          <w:rFonts w:ascii="微软雅黑" w:hAnsi="微软雅黑" w:eastAsia="微软雅黑"/>
          <w:sz w:val="18"/>
          <w:szCs w:val="18"/>
        </w:rPr>
        <w:t>维</w:t>
      </w:r>
      <w:r>
        <w:rPr>
          <w:rFonts w:hint="eastAsia" w:ascii="微软雅黑" w:hAnsi="微软雅黑" w:eastAsia="微软雅黑"/>
          <w:sz w:val="18"/>
          <w:szCs w:val="18"/>
        </w:rPr>
        <w:t>视图</w:t>
      </w:r>
    </w:p>
    <w:p w14:paraId="5D4D5F4E">
      <w:pPr>
        <w:pStyle w:val="3"/>
        <w:ind w:firstLine="0" w:firstLineChars="0"/>
        <w:rPr>
          <w:rFonts w:ascii="微软雅黑" w:hAnsi="微软雅黑" w:eastAsia="微软雅黑"/>
          <w:lang w:val="en-US"/>
        </w:rPr>
      </w:pPr>
    </w:p>
    <w:p w14:paraId="02570387">
      <w:pPr>
        <w:pStyle w:val="2"/>
      </w:pPr>
      <w:bookmarkStart w:id="21" w:name="_Toc16055"/>
      <w:bookmarkStart w:id="22" w:name="TitleFormat"/>
      <w:bookmarkStart w:id="23" w:name="_Toc452108762"/>
      <w:r>
        <w:rPr>
          <w:rFonts w:hint="eastAsia"/>
        </w:rPr>
        <w:t>计算</w:t>
      </w:r>
      <w:r>
        <w:t>依据</w:t>
      </w:r>
      <w:bookmarkEnd w:id="21"/>
    </w:p>
    <w:p w14:paraId="3D90864D">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3203A7A6">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p>
    <w:p w14:paraId="09C10230">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3B4C949F">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74CB429E">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09882D22">
      <w:pPr>
        <w:pStyle w:val="2"/>
      </w:pPr>
      <w:bookmarkStart w:id="25" w:name="_Toc4239"/>
      <w:bookmarkStart w:id="26" w:name="_Toc452108763"/>
      <w:r>
        <w:rPr>
          <w:rFonts w:hint="eastAsia"/>
        </w:rPr>
        <w:t>参考</w:t>
      </w:r>
      <w:r>
        <w:t>标准</w:t>
      </w:r>
      <w:bookmarkEnd w:id="25"/>
    </w:p>
    <w:p w14:paraId="2DE1AE08">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2F88B29D">
      <w:pPr>
        <w:pStyle w:val="3"/>
        <w:ind w:firstLine="420"/>
        <w:rPr>
          <w:rFonts w:ascii="微软雅黑" w:hAnsi="微软雅黑" w:eastAsia="微软雅黑"/>
          <w:lang w:val="en-US"/>
        </w:rPr>
      </w:pPr>
      <w:bookmarkStart w:id="28" w:name="_Toc451698935"/>
      <w:bookmarkStart w:id="29" w:name="_Toc452108764"/>
      <w:bookmarkStart w:id="30" w:name="_Toc451436145"/>
      <w:r>
        <w:rPr>
          <w:rFonts w:hint="eastAsia" w:ascii="微软雅黑" w:hAnsi="微软雅黑" w:eastAsia="微软雅黑"/>
          <w:lang w:val="en-US"/>
        </w:rPr>
        <w:t>8.2.8 场地内风环境有利于室外行走、活动舒适和建筑的自然通风，评价总分值为10分，并按下列规则分别评分并累计：</w:t>
      </w:r>
    </w:p>
    <w:p w14:paraId="50A4A699">
      <w:pPr>
        <w:pStyle w:val="3"/>
        <w:ind w:firstLine="420"/>
        <w:rPr>
          <w:rFonts w:ascii="微软雅黑" w:hAnsi="微软雅黑" w:eastAsia="微软雅黑"/>
          <w:lang w:val="en-US"/>
        </w:rPr>
      </w:pPr>
      <w:r>
        <w:rPr>
          <w:rFonts w:hint="eastAsia" w:ascii="微软雅黑" w:hAnsi="微软雅黑" w:eastAsia="微软雅黑"/>
          <w:lang w:val="en-US"/>
        </w:rPr>
        <w:t>1  冬季典型风速和风向条件下，按下列规则分别评分并累计：</w:t>
      </w:r>
    </w:p>
    <w:p w14:paraId="3124312E">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1）建筑物周围人行区距地高1.5m处风速小于5m/s，户外休息区、儿童娱乐区风速小于2m/s，且室外风速放大系数小于2，得</w:t>
      </w:r>
      <w:bookmarkStart w:id="31" w:name="参考标准冬季风速得分"/>
      <w:r>
        <w:t>3</w:t>
      </w:r>
      <w:bookmarkEnd w:id="31"/>
      <w:r>
        <w:rPr>
          <w:rFonts w:hint="eastAsia" w:ascii="微软雅黑" w:hAnsi="微软雅黑" w:eastAsia="微软雅黑"/>
          <w:lang w:val="en-US"/>
        </w:rPr>
        <w:t>分；</w:t>
      </w:r>
    </w:p>
    <w:p w14:paraId="2C9B4E45">
      <w:pPr>
        <w:pStyle w:val="3"/>
        <w:ind w:firstLine="420"/>
        <w:rPr>
          <w:rFonts w:ascii="微软雅黑" w:hAnsi="微软雅黑" w:eastAsia="微软雅黑"/>
          <w:lang w:val="en-US"/>
        </w:rPr>
      </w:pPr>
      <w:r>
        <w:rPr>
          <w:rFonts w:hint="eastAsia" w:ascii="微软雅黑" w:hAnsi="微软雅黑" w:eastAsia="微软雅黑"/>
          <w:lang w:val="en-US"/>
        </w:rPr>
        <w:t>2）除迎风第一排建筑外，建筑迎风面与背风面表面风压差不大于5Pa，得</w:t>
      </w:r>
      <w:bookmarkStart w:id="32" w:name="参考标准冬季风压得分"/>
      <w:r>
        <w:t>2</w:t>
      </w:r>
      <w:bookmarkEnd w:id="32"/>
      <w:r>
        <w:rPr>
          <w:rFonts w:hint="eastAsia" w:ascii="微软雅黑" w:hAnsi="微软雅黑" w:eastAsia="微软雅黑"/>
          <w:lang w:val="en-US"/>
        </w:rPr>
        <w:t>分。</w:t>
      </w:r>
    </w:p>
    <w:p w14:paraId="383F4DBE">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7526F032">
      <w:pPr>
        <w:pStyle w:val="3"/>
        <w:ind w:firstLine="420"/>
        <w:rPr>
          <w:rFonts w:ascii="微软雅黑" w:hAnsi="微软雅黑" w:eastAsia="微软雅黑"/>
          <w:lang w:val="en-US"/>
        </w:rPr>
      </w:pPr>
      <w:r>
        <w:rPr>
          <w:rFonts w:hint="eastAsia" w:ascii="微软雅黑" w:hAnsi="微软雅黑" w:eastAsia="微软雅黑"/>
          <w:lang w:val="en-US"/>
        </w:rPr>
        <w:t>1）场地内人活动区不出现涡旋或无风区，得</w:t>
      </w:r>
      <w:bookmarkStart w:id="33" w:name="参考标准夏季风速得分"/>
      <w:r>
        <w:t>3</w:t>
      </w:r>
      <w:bookmarkEnd w:id="33"/>
      <w:r>
        <w:rPr>
          <w:rFonts w:hint="eastAsia" w:ascii="微软雅黑" w:hAnsi="微软雅黑" w:eastAsia="微软雅黑"/>
          <w:lang w:val="en-US"/>
        </w:rPr>
        <w:t>分；</w:t>
      </w:r>
    </w:p>
    <w:p w14:paraId="4BB0CA61">
      <w:pPr>
        <w:pStyle w:val="3"/>
        <w:ind w:firstLine="420"/>
        <w:rPr>
          <w:rFonts w:ascii="微软雅黑" w:hAnsi="微软雅黑" w:eastAsia="微软雅黑"/>
          <w:lang w:val="en-US"/>
        </w:rPr>
      </w:pPr>
      <w:r>
        <w:rPr>
          <w:rFonts w:hint="eastAsia" w:ascii="微软雅黑" w:hAnsi="微软雅黑" w:eastAsia="微软雅黑"/>
          <w:lang w:val="en-US"/>
        </w:rPr>
        <w:t>2）50%以上可开启外窗室内外表面的风压差大于0.5Pa，得</w:t>
      </w:r>
      <w:bookmarkStart w:id="34" w:name="参考标准夏季风压得分"/>
      <w:r>
        <w:t>2</w:t>
      </w:r>
      <w:bookmarkEnd w:id="34"/>
      <w:r>
        <w:rPr>
          <w:rFonts w:hint="eastAsia" w:ascii="微软雅黑" w:hAnsi="微软雅黑" w:eastAsia="微软雅黑"/>
          <w:lang w:val="en-US"/>
        </w:rPr>
        <w:t>分。</w:t>
      </w:r>
    </w:p>
    <w:p w14:paraId="3ACCD7AD">
      <w:pPr>
        <w:pStyle w:val="2"/>
      </w:pPr>
      <w:bookmarkStart w:id="35" w:name="_Toc22897"/>
      <w:r>
        <w:rPr>
          <w:rFonts w:hint="eastAsia"/>
        </w:rPr>
        <w:t>计算原理</w:t>
      </w:r>
      <w:bookmarkEnd w:id="28"/>
      <w:bookmarkEnd w:id="29"/>
      <w:bookmarkEnd w:id="35"/>
    </w:p>
    <w:p w14:paraId="51721DF4">
      <w:pPr>
        <w:pStyle w:val="4"/>
        <w:numPr>
          <w:ilvl w:val="1"/>
          <w:numId w:val="3"/>
        </w:numPr>
      </w:pPr>
      <w:bookmarkStart w:id="36" w:name="_Toc509844740"/>
      <w:bookmarkStart w:id="37" w:name="_Toc9471"/>
      <w:bookmarkStart w:id="38" w:name="_Toc451698937"/>
      <w:bookmarkStart w:id="39" w:name="_Toc452108765"/>
      <w:r>
        <w:rPr>
          <w:rFonts w:hint="eastAsia"/>
        </w:rPr>
        <w:t>风场计算域</w:t>
      </w:r>
      <w:bookmarkEnd w:id="36"/>
      <w:bookmarkEnd w:id="37"/>
    </w:p>
    <w:p w14:paraId="55B39AA2">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69CD16A2">
      <w:pPr>
        <w:pStyle w:val="59"/>
      </w:pPr>
    </w:p>
    <w:p w14:paraId="6C1D8675">
      <w:pPr>
        <w:pStyle w:val="5"/>
        <w:numPr>
          <w:ilvl w:val="2"/>
          <w:numId w:val="4"/>
        </w:numPr>
      </w:pPr>
      <w:bookmarkStart w:id="40" w:name="季节1"/>
      <w:r>
        <w:rPr>
          <w:rFonts w:hint="eastAsia"/>
        </w:rPr>
        <w:t>冬季工况风场计算域</w:t>
      </w:r>
    </w:p>
    <w:p w14:paraId="6CCE964D">
      <w:pPr>
        <w:jc w:val="center"/>
        <w:rPr>
          <w:sz w:val="18"/>
          <w:szCs w:val="18"/>
        </w:rPr>
      </w:pPr>
      <w:r>
        <w:rPr>
          <w:rFonts w:hint="eastAsia"/>
          <w:sz w:val="18"/>
          <w:szCs w:val="18"/>
        </w:rPr>
        <w:t>表4</w:t>
      </w:r>
      <w:r>
        <w:rPr>
          <w:sz w:val="18"/>
          <w:szCs w:val="18"/>
        </w:rPr>
        <w:t xml:space="preserve">.1-1 </w:t>
      </w:r>
      <w:bookmarkStart w:id="41" w:name="季节2"/>
      <w:r>
        <w:t>冬季</w:t>
      </w:r>
      <w:bookmarkEnd w:id="41"/>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4BA7CCC6">
        <w:tblPrEx>
          <w:tblCellMar>
            <w:top w:w="0" w:type="dxa"/>
            <w:left w:w="108" w:type="dxa"/>
            <w:bottom w:w="0" w:type="dxa"/>
            <w:right w:w="108" w:type="dxa"/>
          </w:tblCellMar>
        </w:tblPrEx>
        <w:trPr>
          <w:jc w:val="center"/>
        </w:trPr>
        <w:tc>
          <w:tcPr>
            <w:tcW w:w="2765" w:type="dxa"/>
            <w:shd w:val="clear" w:color="auto" w:fill="D8D8D8" w:themeFill="background1" w:themeFillShade="D9"/>
          </w:tcPr>
          <w:p w14:paraId="7721B2C6">
            <w:pPr>
              <w:jc w:val="center"/>
              <w:rPr>
                <w:sz w:val="18"/>
                <w:szCs w:val="18"/>
              </w:rPr>
            </w:pPr>
            <w:r>
              <w:rPr>
                <w:rFonts w:hint="eastAsia"/>
                <w:sz w:val="18"/>
                <w:szCs w:val="18"/>
              </w:rPr>
              <w:t>顺风方向（m）</w:t>
            </w:r>
          </w:p>
        </w:tc>
        <w:tc>
          <w:tcPr>
            <w:tcW w:w="2765" w:type="dxa"/>
            <w:shd w:val="clear" w:color="auto" w:fill="D8D8D8" w:themeFill="background1" w:themeFillShade="D9"/>
          </w:tcPr>
          <w:p w14:paraId="087A2F55">
            <w:pPr>
              <w:jc w:val="center"/>
              <w:rPr>
                <w:sz w:val="18"/>
                <w:szCs w:val="18"/>
              </w:rPr>
            </w:pPr>
            <w:r>
              <w:rPr>
                <w:rFonts w:hint="eastAsia"/>
                <w:sz w:val="18"/>
                <w:szCs w:val="18"/>
              </w:rPr>
              <w:t>宽度方向（m）</w:t>
            </w:r>
          </w:p>
        </w:tc>
        <w:tc>
          <w:tcPr>
            <w:tcW w:w="2766" w:type="dxa"/>
            <w:shd w:val="clear" w:color="auto" w:fill="D8D8D8" w:themeFill="background1" w:themeFillShade="D9"/>
          </w:tcPr>
          <w:p w14:paraId="6B3EE502">
            <w:pPr>
              <w:jc w:val="center"/>
              <w:rPr>
                <w:sz w:val="18"/>
                <w:szCs w:val="18"/>
              </w:rPr>
            </w:pPr>
            <w:r>
              <w:rPr>
                <w:rFonts w:hint="eastAsia"/>
                <w:sz w:val="18"/>
                <w:szCs w:val="18"/>
              </w:rPr>
              <w:t>高度方向（m）</w:t>
            </w:r>
          </w:p>
        </w:tc>
      </w:tr>
      <w:tr w14:paraId="202BBD4B">
        <w:tblPrEx>
          <w:tblCellMar>
            <w:top w:w="0" w:type="dxa"/>
            <w:left w:w="108" w:type="dxa"/>
            <w:bottom w:w="0" w:type="dxa"/>
            <w:right w:w="108" w:type="dxa"/>
          </w:tblCellMar>
        </w:tblPrEx>
        <w:trPr>
          <w:jc w:val="center"/>
        </w:trPr>
        <w:tc>
          <w:tcPr>
            <w:tcW w:w="2765" w:type="dxa"/>
          </w:tcPr>
          <w:p w14:paraId="6AF51047">
            <w:pPr>
              <w:jc w:val="center"/>
              <w:rPr>
                <w:sz w:val="18"/>
                <w:szCs w:val="18"/>
              </w:rPr>
            </w:pPr>
            <w:bookmarkStart w:id="42" w:name="冬季风场X尺寸"/>
            <w:r>
              <w:t>305</w:t>
            </w:r>
            <w:bookmarkEnd w:id="42"/>
          </w:p>
        </w:tc>
        <w:tc>
          <w:tcPr>
            <w:tcW w:w="2765" w:type="dxa"/>
          </w:tcPr>
          <w:p w14:paraId="3D7334C4">
            <w:pPr>
              <w:jc w:val="center"/>
              <w:rPr>
                <w:sz w:val="18"/>
                <w:szCs w:val="18"/>
              </w:rPr>
            </w:pPr>
            <w:bookmarkStart w:id="43" w:name="冬季风场Y尺寸"/>
            <w:r>
              <w:t>387</w:t>
            </w:r>
            <w:bookmarkEnd w:id="43"/>
          </w:p>
        </w:tc>
        <w:tc>
          <w:tcPr>
            <w:tcW w:w="2766" w:type="dxa"/>
          </w:tcPr>
          <w:p w14:paraId="137BAFE6">
            <w:pPr>
              <w:jc w:val="center"/>
              <w:rPr>
                <w:sz w:val="18"/>
                <w:szCs w:val="18"/>
              </w:rPr>
            </w:pPr>
            <w:bookmarkStart w:id="44" w:name="冬季风场Z尺寸"/>
            <w:r>
              <w:t>128</w:t>
            </w:r>
            <w:bookmarkEnd w:id="44"/>
          </w:p>
        </w:tc>
      </w:tr>
    </w:tbl>
    <w:p w14:paraId="13184567">
      <w:pPr>
        <w:jc w:val="center"/>
        <w:rPr>
          <w:sz w:val="18"/>
          <w:szCs w:val="18"/>
        </w:rPr>
      </w:pPr>
      <w:bookmarkStart w:id="45" w:name="冬季工况风场计算域图示"/>
      <w:bookmarkEnd w:id="45"/>
      <w:r>
        <w:drawing>
          <wp:inline distT="0" distB="0" distL="0" distR="0">
            <wp:extent cx="5667375" cy="32480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1"/>
                    <a:stretch>
                      <a:fillRect/>
                    </a:stretch>
                  </pic:blipFill>
                  <pic:spPr>
                    <a:xfrm>
                      <a:off x="0" y="0"/>
                      <a:ext cx="5667375" cy="3248025"/>
                    </a:xfrm>
                    <a:prstGeom prst="rect">
                      <a:avLst/>
                    </a:prstGeom>
                  </pic:spPr>
                </pic:pic>
              </a:graphicData>
            </a:graphic>
          </wp:inline>
        </w:drawing>
      </w:r>
    </w:p>
    <w:p w14:paraId="08F1F487">
      <w:pPr>
        <w:jc w:val="center"/>
        <w:rPr>
          <w:sz w:val="18"/>
          <w:szCs w:val="18"/>
        </w:rPr>
      </w:pPr>
      <w:r>
        <w:rPr>
          <w:rFonts w:hint="eastAsia"/>
          <w:sz w:val="18"/>
          <w:szCs w:val="18"/>
        </w:rPr>
        <w:t>图4</w:t>
      </w:r>
      <w:r>
        <w:rPr>
          <w:sz w:val="18"/>
          <w:szCs w:val="18"/>
        </w:rPr>
        <w:t xml:space="preserve">.11 </w:t>
      </w:r>
      <w:bookmarkStart w:id="46" w:name="季节3"/>
      <w:r>
        <w:t>冬季</w:t>
      </w:r>
      <w:bookmarkEnd w:id="46"/>
      <w:r>
        <w:rPr>
          <w:rFonts w:hint="eastAsia"/>
          <w:sz w:val="18"/>
          <w:szCs w:val="18"/>
        </w:rPr>
        <w:t>工况风场计算域图示</w:t>
      </w:r>
    </w:p>
    <w:p w14:paraId="5D919703">
      <w:pPr>
        <w:pStyle w:val="5"/>
        <w:numPr>
          <w:ilvl w:val="2"/>
          <w:numId w:val="4"/>
        </w:numPr>
      </w:pPr>
      <w:r>
        <w:rPr>
          <w:rFonts w:hint="eastAsia"/>
        </w:rPr>
        <w:t>夏季工况风场计算域</w:t>
      </w:r>
    </w:p>
    <w:p w14:paraId="50C812AC">
      <w:pPr>
        <w:jc w:val="center"/>
        <w:rPr>
          <w:sz w:val="18"/>
          <w:szCs w:val="18"/>
        </w:rPr>
      </w:pPr>
      <w:r>
        <w:rPr>
          <w:rFonts w:hint="eastAsia"/>
          <w:sz w:val="18"/>
          <w:szCs w:val="18"/>
        </w:rPr>
        <w:t>表4</w:t>
      </w:r>
      <w:r>
        <w:rPr>
          <w:sz w:val="18"/>
          <w:szCs w:val="18"/>
        </w:rPr>
        <w:t xml:space="preserve">.1-1 </w:t>
      </w:r>
      <w:r>
        <w:t>夏季</w:t>
      </w:r>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37FF23D7">
        <w:tblPrEx>
          <w:tblCellMar>
            <w:top w:w="0" w:type="dxa"/>
            <w:left w:w="108" w:type="dxa"/>
            <w:bottom w:w="0" w:type="dxa"/>
            <w:right w:w="108" w:type="dxa"/>
          </w:tblCellMar>
        </w:tblPrEx>
        <w:trPr>
          <w:jc w:val="center"/>
        </w:trPr>
        <w:tc>
          <w:tcPr>
            <w:tcW w:w="2765" w:type="dxa"/>
            <w:shd w:val="clear" w:color="auto" w:fill="D8D8D8" w:themeFill="background1" w:themeFillShade="D9"/>
          </w:tcPr>
          <w:p w14:paraId="59A99D4D">
            <w:pPr>
              <w:jc w:val="center"/>
              <w:rPr>
                <w:sz w:val="18"/>
                <w:szCs w:val="18"/>
              </w:rPr>
            </w:pPr>
            <w:r>
              <w:rPr>
                <w:rFonts w:hint="eastAsia"/>
                <w:sz w:val="18"/>
                <w:szCs w:val="18"/>
              </w:rPr>
              <w:t>顺风方向（m）</w:t>
            </w:r>
          </w:p>
        </w:tc>
        <w:tc>
          <w:tcPr>
            <w:tcW w:w="2765" w:type="dxa"/>
            <w:shd w:val="clear" w:color="auto" w:fill="D8D8D8" w:themeFill="background1" w:themeFillShade="D9"/>
          </w:tcPr>
          <w:p w14:paraId="3D8DE8AD">
            <w:pPr>
              <w:jc w:val="center"/>
              <w:rPr>
                <w:sz w:val="18"/>
                <w:szCs w:val="18"/>
              </w:rPr>
            </w:pPr>
            <w:r>
              <w:rPr>
                <w:rFonts w:hint="eastAsia"/>
                <w:sz w:val="18"/>
                <w:szCs w:val="18"/>
              </w:rPr>
              <w:t>宽度方向（m）</w:t>
            </w:r>
          </w:p>
        </w:tc>
        <w:tc>
          <w:tcPr>
            <w:tcW w:w="2766" w:type="dxa"/>
            <w:shd w:val="clear" w:color="auto" w:fill="D8D8D8" w:themeFill="background1" w:themeFillShade="D9"/>
          </w:tcPr>
          <w:p w14:paraId="1A3198BD">
            <w:pPr>
              <w:jc w:val="center"/>
              <w:rPr>
                <w:sz w:val="18"/>
                <w:szCs w:val="18"/>
              </w:rPr>
            </w:pPr>
            <w:r>
              <w:rPr>
                <w:rFonts w:hint="eastAsia"/>
                <w:sz w:val="18"/>
                <w:szCs w:val="18"/>
              </w:rPr>
              <w:t>高度方向（m）</w:t>
            </w:r>
          </w:p>
        </w:tc>
      </w:tr>
      <w:tr w14:paraId="2AAB199E">
        <w:tblPrEx>
          <w:tblCellMar>
            <w:top w:w="0" w:type="dxa"/>
            <w:left w:w="108" w:type="dxa"/>
            <w:bottom w:w="0" w:type="dxa"/>
            <w:right w:w="108" w:type="dxa"/>
          </w:tblCellMar>
        </w:tblPrEx>
        <w:trPr>
          <w:jc w:val="center"/>
        </w:trPr>
        <w:tc>
          <w:tcPr>
            <w:tcW w:w="2765" w:type="dxa"/>
          </w:tcPr>
          <w:p w14:paraId="65273822">
            <w:pPr>
              <w:jc w:val="center"/>
              <w:rPr>
                <w:sz w:val="18"/>
                <w:szCs w:val="18"/>
              </w:rPr>
            </w:pPr>
            <w:r>
              <w:t>502</w:t>
            </w:r>
          </w:p>
        </w:tc>
        <w:tc>
          <w:tcPr>
            <w:tcW w:w="2765" w:type="dxa"/>
          </w:tcPr>
          <w:p w14:paraId="071BFF01">
            <w:pPr>
              <w:jc w:val="center"/>
              <w:rPr>
                <w:sz w:val="18"/>
                <w:szCs w:val="18"/>
              </w:rPr>
            </w:pPr>
            <w:r>
              <w:t>396</w:t>
            </w:r>
          </w:p>
        </w:tc>
        <w:tc>
          <w:tcPr>
            <w:tcW w:w="2766" w:type="dxa"/>
          </w:tcPr>
          <w:p w14:paraId="59FF54C1">
            <w:pPr>
              <w:jc w:val="center"/>
              <w:rPr>
                <w:sz w:val="18"/>
                <w:szCs w:val="18"/>
              </w:rPr>
            </w:pPr>
            <w:r>
              <w:t>128</w:t>
            </w:r>
          </w:p>
        </w:tc>
      </w:tr>
    </w:tbl>
    <w:p w14:paraId="2E56DD8E">
      <w:pPr>
        <w:jc w:val="center"/>
        <w:rPr>
          <w:sz w:val="18"/>
          <w:szCs w:val="18"/>
        </w:rPr>
      </w:pPr>
      <w:r>
        <w:drawing>
          <wp:inline distT="0" distB="0" distL="0" distR="0">
            <wp:extent cx="5667375" cy="32480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2"/>
                    <a:stretch>
                      <a:fillRect/>
                    </a:stretch>
                  </pic:blipFill>
                  <pic:spPr>
                    <a:xfrm>
                      <a:off x="0" y="0"/>
                      <a:ext cx="5667375" cy="3248025"/>
                    </a:xfrm>
                    <a:prstGeom prst="rect">
                      <a:avLst/>
                    </a:prstGeom>
                  </pic:spPr>
                </pic:pic>
              </a:graphicData>
            </a:graphic>
          </wp:inline>
        </w:drawing>
      </w:r>
    </w:p>
    <w:p w14:paraId="5E149C10">
      <w:pPr>
        <w:jc w:val="center"/>
        <w:rPr>
          <w:sz w:val="18"/>
          <w:szCs w:val="18"/>
        </w:rPr>
      </w:pPr>
      <w:r>
        <w:rPr>
          <w:rFonts w:hint="eastAsia"/>
          <w:sz w:val="18"/>
          <w:szCs w:val="18"/>
        </w:rPr>
        <w:t>图4</w:t>
      </w:r>
      <w:r>
        <w:rPr>
          <w:sz w:val="18"/>
          <w:szCs w:val="18"/>
        </w:rPr>
        <w:t xml:space="preserve">.11 </w:t>
      </w:r>
      <w:r>
        <w:t>夏季</w:t>
      </w:r>
      <w:r>
        <w:rPr>
          <w:rFonts w:hint="eastAsia"/>
          <w:sz w:val="18"/>
          <w:szCs w:val="18"/>
        </w:rPr>
        <w:t>工况风场计算域图示</w:t>
      </w:r>
    </w:p>
    <w:p w14:paraId="021BE775">
      <w:pPr>
        <w:pStyle w:val="5"/>
        <w:numPr>
          <w:ilvl w:val="2"/>
          <w:numId w:val="4"/>
        </w:numPr>
      </w:pPr>
      <w:r>
        <w:rPr>
          <w:rFonts w:hint="eastAsia"/>
        </w:rPr>
        <w:t>过渡季工况风场计算域</w:t>
      </w:r>
    </w:p>
    <w:p w14:paraId="24AD0A97">
      <w:pPr>
        <w:jc w:val="center"/>
        <w:rPr>
          <w:sz w:val="18"/>
          <w:szCs w:val="18"/>
        </w:rPr>
      </w:pPr>
      <w:r>
        <w:rPr>
          <w:rFonts w:hint="eastAsia"/>
          <w:sz w:val="18"/>
          <w:szCs w:val="18"/>
        </w:rPr>
        <w:t>表4</w:t>
      </w:r>
      <w:r>
        <w:rPr>
          <w:sz w:val="18"/>
          <w:szCs w:val="18"/>
        </w:rPr>
        <w:t xml:space="preserve">.1-1 </w:t>
      </w:r>
      <w:r>
        <w:t>过渡季</w:t>
      </w:r>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3BC13347">
        <w:tblPrEx>
          <w:tblCellMar>
            <w:top w:w="0" w:type="dxa"/>
            <w:left w:w="108" w:type="dxa"/>
            <w:bottom w:w="0" w:type="dxa"/>
            <w:right w:w="108" w:type="dxa"/>
          </w:tblCellMar>
        </w:tblPrEx>
        <w:trPr>
          <w:jc w:val="center"/>
        </w:trPr>
        <w:tc>
          <w:tcPr>
            <w:tcW w:w="2765" w:type="dxa"/>
            <w:shd w:val="clear" w:color="auto" w:fill="D8D8D8" w:themeFill="background1" w:themeFillShade="D9"/>
          </w:tcPr>
          <w:p w14:paraId="69351324">
            <w:pPr>
              <w:jc w:val="center"/>
              <w:rPr>
                <w:sz w:val="18"/>
                <w:szCs w:val="18"/>
              </w:rPr>
            </w:pPr>
            <w:r>
              <w:rPr>
                <w:rFonts w:hint="eastAsia"/>
                <w:sz w:val="18"/>
                <w:szCs w:val="18"/>
              </w:rPr>
              <w:t>顺风方向（m）</w:t>
            </w:r>
          </w:p>
        </w:tc>
        <w:tc>
          <w:tcPr>
            <w:tcW w:w="2765" w:type="dxa"/>
            <w:shd w:val="clear" w:color="auto" w:fill="D8D8D8" w:themeFill="background1" w:themeFillShade="D9"/>
          </w:tcPr>
          <w:p w14:paraId="54F39F20">
            <w:pPr>
              <w:jc w:val="center"/>
              <w:rPr>
                <w:sz w:val="18"/>
                <w:szCs w:val="18"/>
              </w:rPr>
            </w:pPr>
            <w:r>
              <w:rPr>
                <w:rFonts w:hint="eastAsia"/>
                <w:sz w:val="18"/>
                <w:szCs w:val="18"/>
              </w:rPr>
              <w:t>宽度方向（m）</w:t>
            </w:r>
          </w:p>
        </w:tc>
        <w:tc>
          <w:tcPr>
            <w:tcW w:w="2766" w:type="dxa"/>
            <w:shd w:val="clear" w:color="auto" w:fill="D8D8D8" w:themeFill="background1" w:themeFillShade="D9"/>
          </w:tcPr>
          <w:p w14:paraId="15D78CD2">
            <w:pPr>
              <w:jc w:val="center"/>
              <w:rPr>
                <w:sz w:val="18"/>
                <w:szCs w:val="18"/>
              </w:rPr>
            </w:pPr>
            <w:r>
              <w:rPr>
                <w:rFonts w:hint="eastAsia"/>
                <w:sz w:val="18"/>
                <w:szCs w:val="18"/>
              </w:rPr>
              <w:t>高度方向（m）</w:t>
            </w:r>
          </w:p>
        </w:tc>
      </w:tr>
      <w:tr w14:paraId="3EB381C7">
        <w:tblPrEx>
          <w:tblCellMar>
            <w:top w:w="0" w:type="dxa"/>
            <w:left w:w="108" w:type="dxa"/>
            <w:bottom w:w="0" w:type="dxa"/>
            <w:right w:w="108" w:type="dxa"/>
          </w:tblCellMar>
        </w:tblPrEx>
        <w:trPr>
          <w:jc w:val="center"/>
        </w:trPr>
        <w:tc>
          <w:tcPr>
            <w:tcW w:w="2765" w:type="dxa"/>
          </w:tcPr>
          <w:p w14:paraId="61DCCDAD">
            <w:pPr>
              <w:jc w:val="center"/>
              <w:rPr>
                <w:sz w:val="18"/>
                <w:szCs w:val="18"/>
              </w:rPr>
            </w:pPr>
            <w:r>
              <w:t>490</w:t>
            </w:r>
          </w:p>
        </w:tc>
        <w:tc>
          <w:tcPr>
            <w:tcW w:w="2765" w:type="dxa"/>
          </w:tcPr>
          <w:p w14:paraId="3DECF2CD">
            <w:pPr>
              <w:jc w:val="center"/>
              <w:rPr>
                <w:sz w:val="18"/>
                <w:szCs w:val="18"/>
              </w:rPr>
            </w:pPr>
            <w:r>
              <w:t>317</w:t>
            </w:r>
          </w:p>
        </w:tc>
        <w:tc>
          <w:tcPr>
            <w:tcW w:w="2766" w:type="dxa"/>
          </w:tcPr>
          <w:p w14:paraId="350BE36C">
            <w:pPr>
              <w:jc w:val="center"/>
              <w:rPr>
                <w:sz w:val="18"/>
                <w:szCs w:val="18"/>
              </w:rPr>
            </w:pPr>
            <w:r>
              <w:t>128</w:t>
            </w:r>
          </w:p>
        </w:tc>
      </w:tr>
    </w:tbl>
    <w:p w14:paraId="412FD295">
      <w:pPr>
        <w:jc w:val="center"/>
        <w:rPr>
          <w:sz w:val="18"/>
          <w:szCs w:val="18"/>
        </w:rPr>
      </w:pPr>
      <w:r>
        <w:drawing>
          <wp:inline distT="0" distB="0" distL="0" distR="0">
            <wp:extent cx="5667375" cy="32480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3"/>
                    <a:stretch>
                      <a:fillRect/>
                    </a:stretch>
                  </pic:blipFill>
                  <pic:spPr>
                    <a:xfrm>
                      <a:off x="0" y="0"/>
                      <a:ext cx="5667375" cy="3248025"/>
                    </a:xfrm>
                    <a:prstGeom prst="rect">
                      <a:avLst/>
                    </a:prstGeom>
                  </pic:spPr>
                </pic:pic>
              </a:graphicData>
            </a:graphic>
          </wp:inline>
        </w:drawing>
      </w:r>
    </w:p>
    <w:p w14:paraId="57C9D255">
      <w:pPr>
        <w:jc w:val="center"/>
        <w:rPr>
          <w:sz w:val="18"/>
          <w:szCs w:val="18"/>
        </w:rPr>
      </w:pPr>
      <w:r>
        <w:rPr>
          <w:rFonts w:hint="eastAsia"/>
          <w:sz w:val="18"/>
          <w:szCs w:val="18"/>
        </w:rPr>
        <w:t>图4</w:t>
      </w:r>
      <w:r>
        <w:rPr>
          <w:sz w:val="18"/>
          <w:szCs w:val="18"/>
        </w:rPr>
        <w:t xml:space="preserve">.11 </w:t>
      </w:r>
      <w:r>
        <w:t>过渡季</w:t>
      </w:r>
      <w:r>
        <w:rPr>
          <w:rFonts w:hint="eastAsia"/>
          <w:sz w:val="18"/>
          <w:szCs w:val="18"/>
        </w:rPr>
        <w:t>工况风场计算域图示</w:t>
      </w:r>
    </w:p>
    <w:p w14:paraId="00EB0E87">
      <w:pPr>
        <w:pStyle w:val="59"/>
      </w:pPr>
      <w:bookmarkStart w:id="47" w:name="计算域"/>
      <w:bookmarkEnd w:id="47"/>
    </w:p>
    <w:p w14:paraId="7ACB2AE7">
      <w:pPr>
        <w:pStyle w:val="3"/>
        <w:ind w:firstLine="420"/>
        <w:rPr>
          <w:rFonts w:ascii="微软雅黑" w:hAnsi="微软雅黑" w:eastAsia="微软雅黑"/>
          <w:szCs w:val="20"/>
          <w:lang w:val="en-US"/>
        </w:rPr>
      </w:pPr>
      <w:r>
        <w:rPr>
          <w:rFonts w:hint="eastAsia" w:ascii="微软雅黑" w:hAnsi="微软雅黑" w:eastAsia="微软雅黑"/>
          <w:szCs w:val="20"/>
          <w:lang w:val="en-US"/>
        </w:rPr>
        <w:t>注：不同季节因风向不同，为了最大限度反映项目周围区域风场特征，根据不同风向划定不同的计算域。</w:t>
      </w:r>
    </w:p>
    <w:p w14:paraId="5E42F990">
      <w:pPr>
        <w:pStyle w:val="4"/>
      </w:pPr>
      <w:bookmarkStart w:id="48" w:name="_Toc509844741"/>
      <w:bookmarkStart w:id="49" w:name="_Toc27499"/>
      <w:r>
        <w:rPr>
          <w:rFonts w:hint="eastAsia"/>
        </w:rPr>
        <w:t>网格划分</w:t>
      </w:r>
      <w:bookmarkEnd w:id="48"/>
      <w:bookmarkEnd w:id="49"/>
    </w:p>
    <w:p w14:paraId="78E92F1F">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5DD55FFD">
      <w:pPr>
        <w:pStyle w:val="13"/>
        <w:spacing w:before="156"/>
        <w:ind w:left="426" w:firstLine="0"/>
        <w:rPr>
          <w:rFonts w:ascii="微软雅黑"/>
        </w:rPr>
      </w:pPr>
      <w:r>
        <w:rPr>
          <w:rFonts w:hint="eastAsia" w:ascii="微软雅黑"/>
        </w:rPr>
        <w:t>1）一般网格：指除靠近地面和建筑以外的网格，通常不需要特别加密处理</w:t>
      </w:r>
    </w:p>
    <w:p w14:paraId="3F46DC42">
      <w:pPr>
        <w:pStyle w:val="13"/>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527FCADE">
      <w:pPr>
        <w:numPr>
          <w:ilvl w:val="0"/>
          <w:numId w:val="5"/>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0A474DCF">
      <w:pPr>
        <w:numPr>
          <w:ilvl w:val="0"/>
          <w:numId w:val="5"/>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057996BE">
      <w:pPr>
        <w:numPr>
          <w:ilvl w:val="0"/>
          <w:numId w:val="5"/>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4A00B7F2">
      <w:pPr>
        <w:pStyle w:val="13"/>
        <w:spacing w:before="156"/>
        <w:ind w:left="0" w:firstLine="315" w:firstLineChars="150"/>
        <w:rPr>
          <w:rFonts w:ascii="微软雅黑"/>
        </w:rPr>
      </w:pPr>
      <w:r>
        <w:rPr>
          <w:rFonts w:hint="eastAsia" w:ascii="微软雅黑"/>
        </w:rPr>
        <w:t>2）地面网格</w:t>
      </w:r>
    </w:p>
    <w:p w14:paraId="1980031F">
      <w:pPr>
        <w:pStyle w:val="13"/>
        <w:spacing w:before="156"/>
        <w:ind w:firstLine="315" w:firstLineChars="150"/>
        <w:rPr>
          <w:rFonts w:ascii="微软雅黑"/>
        </w:rPr>
      </w:pPr>
      <w:r>
        <w:rPr>
          <w:rFonts w:hint="eastAsia" w:ascii="微软雅黑"/>
        </w:rPr>
        <w:t>靠近建筑物的区域称为近场，远离建筑物的区域称为远场。</w:t>
      </w:r>
    </w:p>
    <w:p w14:paraId="5DA95A9E">
      <w:pPr>
        <w:pStyle w:val="3"/>
        <w:ind w:firstLine="420"/>
        <w:rPr>
          <w:rFonts w:ascii="微软雅黑" w:hAnsi="微软雅黑" w:eastAsia="微软雅黑"/>
        </w:rPr>
      </w:pPr>
      <w:r>
        <w:rPr>
          <w:rFonts w:hint="eastAsia" w:ascii="微软雅黑" w:hAnsi="微软雅黑" w:eastAsia="微软雅黑"/>
        </w:rPr>
        <w:t>近场的地面网格需要加密，对应地面细分级数较大；而远场地面对应网格较疏，地面细分级数较小。</w:t>
      </w:r>
    </w:p>
    <w:p w14:paraId="186EE88A">
      <w:pPr>
        <w:pStyle w:val="3"/>
        <w:ind w:firstLine="420"/>
        <w:rPr>
          <w:rFonts w:ascii="微软雅黑" w:hAnsi="微软雅黑" w:eastAsia="微软雅黑"/>
        </w:rPr>
      </w:pPr>
      <w:r>
        <w:rPr>
          <w:rFonts w:hint="eastAsia" w:ascii="微软雅黑" w:hAnsi="微软雅黑" w:eastAsia="微软雅黑"/>
        </w:rPr>
        <w:t>以下为本项目的网格划分信息，上述网格方案对网格的控制分别体现在相应的网格参数中：</w:t>
      </w:r>
    </w:p>
    <w:p w14:paraId="32DA3DC1">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冬季网格划分信息</w:t>
      </w:r>
    </w:p>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34A15377">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6499E9E">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60EC2B3">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17EC3CB">
            <w:pPr>
              <w:jc w:val="center"/>
              <w:rPr>
                <w:sz w:val="18"/>
                <w:szCs w:val="18"/>
              </w:rPr>
            </w:pPr>
            <w:r>
              <w:rPr>
                <w:rFonts w:hint="eastAsia"/>
                <w:sz w:val="18"/>
                <w:szCs w:val="18"/>
              </w:rPr>
              <w:t>网格尺寸</w:t>
            </w:r>
          </w:p>
        </w:tc>
      </w:tr>
      <w:tr w14:paraId="4D374A1D">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7D5D2333">
            <w:pPr>
              <w:jc w:val="center"/>
              <w:rPr>
                <w:sz w:val="18"/>
                <w:szCs w:val="18"/>
              </w:rPr>
            </w:pPr>
            <w:bookmarkStart w:id="51" w:name="冬季网格总数"/>
            <w:r>
              <w:t>218895</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3584A49">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4D0609C">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747D40D">
            <w:pPr>
              <w:jc w:val="center"/>
              <w:rPr>
                <w:sz w:val="18"/>
                <w:szCs w:val="18"/>
              </w:rPr>
            </w:pPr>
            <w:bookmarkStart w:id="52" w:name="冬季分弧精度"/>
            <w:r>
              <w:t>0.24</w:t>
            </w:r>
            <w:bookmarkEnd w:id="52"/>
          </w:p>
        </w:tc>
      </w:tr>
      <w:tr w14:paraId="6105AF5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ABD1ACE">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F2FDE7D">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8E06026">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6AE045D4">
            <w:pPr>
              <w:jc w:val="center"/>
              <w:rPr>
                <w:sz w:val="18"/>
                <w:szCs w:val="18"/>
              </w:rPr>
            </w:pPr>
            <w:bookmarkStart w:id="53" w:name="最大网格尺寸"/>
            <w:r>
              <w:t>16.0</w:t>
            </w:r>
            <w:bookmarkEnd w:id="53"/>
          </w:p>
        </w:tc>
      </w:tr>
      <w:tr w14:paraId="541EB7B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4E2A7CB">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B357AB2">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7DA214A">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35308D6A">
            <w:pPr>
              <w:jc w:val="center"/>
              <w:rPr>
                <w:sz w:val="18"/>
                <w:szCs w:val="18"/>
              </w:rPr>
            </w:pPr>
            <w:bookmarkStart w:id="54" w:name="最小网格尺寸"/>
            <w:r>
              <w:t>4.0</w:t>
            </w:r>
            <w:bookmarkEnd w:id="54"/>
          </w:p>
        </w:tc>
      </w:tr>
      <w:tr w14:paraId="69D44F5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1E335E6">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1D9BF01">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7B669AF">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06122BE4">
            <w:pPr>
              <w:jc w:val="center"/>
              <w:rPr>
                <w:sz w:val="18"/>
                <w:szCs w:val="18"/>
              </w:rPr>
            </w:pPr>
            <w:bookmarkStart w:id="55" w:name="建筑表面细分层厚度"/>
            <w:r>
              <w:t>4.0</w:t>
            </w:r>
            <w:bookmarkEnd w:id="55"/>
          </w:p>
        </w:tc>
      </w:tr>
      <w:tr w14:paraId="668C1DA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094A7F4">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2CECA82">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BF65D76">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108A448C">
            <w:pPr>
              <w:jc w:val="center"/>
              <w:rPr>
                <w:sz w:val="18"/>
                <w:szCs w:val="18"/>
              </w:rPr>
            </w:pPr>
            <w:bookmarkStart w:id="56" w:name="远场网格尺寸"/>
            <w:r>
              <w:t>8.0</w:t>
            </w:r>
            <w:bookmarkEnd w:id="56"/>
          </w:p>
        </w:tc>
      </w:tr>
      <w:tr w14:paraId="4A9A504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B39CFC9">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302116E">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91DDB17">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4EE725A0">
            <w:pPr>
              <w:jc w:val="center"/>
              <w:rPr>
                <w:sz w:val="18"/>
                <w:szCs w:val="18"/>
              </w:rPr>
            </w:pPr>
            <w:bookmarkStart w:id="57" w:name="近场网格尺寸"/>
            <w:r>
              <w:t>4.0</w:t>
            </w:r>
            <w:bookmarkEnd w:id="57"/>
          </w:p>
        </w:tc>
      </w:tr>
    </w:tbl>
    <w:p w14:paraId="01A36C98">
      <w:pPr>
        <w:spacing w:line="400" w:lineRule="exact"/>
        <w:rPr>
          <w:sz w:val="18"/>
          <w:szCs w:val="18"/>
          <w:lang w:val="en-US"/>
        </w:rPr>
      </w:pPr>
    </w:p>
    <w:p w14:paraId="74663F21">
      <w:pPr>
        <w:jc w:val="center"/>
      </w:pPr>
      <w:bookmarkStart w:id="58" w:name="网格图"/>
      <w:bookmarkEnd w:id="58"/>
      <w:r>
        <w:drawing>
          <wp:inline distT="0" distB="0" distL="0" distR="0">
            <wp:extent cx="5667375" cy="33242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4"/>
                    <a:stretch>
                      <a:fillRect/>
                    </a:stretch>
                  </pic:blipFill>
                  <pic:spPr>
                    <a:xfrm>
                      <a:off x="0" y="0"/>
                      <a:ext cx="5667375" cy="3324225"/>
                    </a:xfrm>
                    <a:prstGeom prst="rect">
                      <a:avLst/>
                    </a:prstGeom>
                  </pic:spPr>
                </pic:pic>
              </a:graphicData>
            </a:graphic>
          </wp:inline>
        </w:drawing>
      </w:r>
    </w:p>
    <w:p w14:paraId="0AF2F44C">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冬季</w:t>
      </w:r>
      <w:bookmarkEnd w:id="59"/>
    </w:p>
    <w:p w14:paraId="0C8C637B">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夏季网格划分信息</w:t>
      </w:r>
    </w:p>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088DE1C5">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8972559">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5EF425A">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08E612E">
            <w:pPr>
              <w:jc w:val="center"/>
              <w:rPr>
                <w:sz w:val="18"/>
                <w:szCs w:val="18"/>
              </w:rPr>
            </w:pPr>
            <w:r>
              <w:rPr>
                <w:rFonts w:hint="eastAsia"/>
                <w:sz w:val="18"/>
                <w:szCs w:val="18"/>
              </w:rPr>
              <w:t>网格尺寸</w:t>
            </w:r>
          </w:p>
        </w:tc>
      </w:tr>
      <w:tr w14:paraId="740BA5A3">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219607BD">
            <w:pPr>
              <w:jc w:val="center"/>
              <w:rPr>
                <w:sz w:val="18"/>
                <w:szCs w:val="18"/>
              </w:rPr>
            </w:pPr>
            <w:r>
              <w:t>331823</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3E13D41">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E3FB178">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5CF97E0">
            <w:pPr>
              <w:jc w:val="center"/>
              <w:rPr>
                <w:sz w:val="18"/>
                <w:szCs w:val="18"/>
              </w:rPr>
            </w:pPr>
            <w:r>
              <w:t>0.24</w:t>
            </w:r>
          </w:p>
        </w:tc>
      </w:tr>
      <w:tr w14:paraId="68B32D9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0E8776B">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BB20F7B">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0D76DE0">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7F2B00A3">
            <w:pPr>
              <w:jc w:val="center"/>
              <w:rPr>
                <w:sz w:val="18"/>
                <w:szCs w:val="18"/>
              </w:rPr>
            </w:pPr>
            <w:r>
              <w:t>16.0</w:t>
            </w:r>
          </w:p>
        </w:tc>
      </w:tr>
      <w:tr w14:paraId="248EA6F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B06FE44">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061448B">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57318FE">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32FB7EB7">
            <w:pPr>
              <w:jc w:val="center"/>
              <w:rPr>
                <w:sz w:val="18"/>
                <w:szCs w:val="18"/>
              </w:rPr>
            </w:pPr>
            <w:r>
              <w:t>4.0</w:t>
            </w:r>
          </w:p>
        </w:tc>
      </w:tr>
      <w:tr w14:paraId="21ACB48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3188FE8">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1D37605">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47D51B9">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2E3E7038">
            <w:pPr>
              <w:jc w:val="center"/>
              <w:rPr>
                <w:sz w:val="18"/>
                <w:szCs w:val="18"/>
              </w:rPr>
            </w:pPr>
            <w:r>
              <w:t>4.0</w:t>
            </w:r>
          </w:p>
        </w:tc>
      </w:tr>
      <w:tr w14:paraId="15E94211">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2621DC6">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662F561">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1D28994">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7D4853AB">
            <w:pPr>
              <w:jc w:val="center"/>
              <w:rPr>
                <w:sz w:val="18"/>
                <w:szCs w:val="18"/>
              </w:rPr>
            </w:pPr>
            <w:r>
              <w:t>8.0</w:t>
            </w:r>
          </w:p>
        </w:tc>
      </w:tr>
      <w:tr w14:paraId="0F6B52A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5CF7FB1">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4F90119">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EBF793F">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22DB6A03">
            <w:pPr>
              <w:jc w:val="center"/>
              <w:rPr>
                <w:sz w:val="18"/>
                <w:szCs w:val="18"/>
              </w:rPr>
            </w:pPr>
            <w:r>
              <w:t>4.0</w:t>
            </w:r>
          </w:p>
        </w:tc>
      </w:tr>
    </w:tbl>
    <w:p w14:paraId="602EE70D">
      <w:pPr>
        <w:spacing w:line="400" w:lineRule="exact"/>
        <w:rPr>
          <w:sz w:val="18"/>
          <w:szCs w:val="18"/>
          <w:lang w:val="en-US"/>
        </w:rPr>
      </w:pPr>
    </w:p>
    <w:p w14:paraId="0851F922">
      <w:pPr>
        <w:jc w:val="center"/>
      </w:pPr>
      <w:r>
        <w:drawing>
          <wp:inline distT="0" distB="0" distL="0" distR="0">
            <wp:extent cx="5667375" cy="33242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15"/>
                    <a:stretch>
                      <a:fillRect/>
                    </a:stretch>
                  </pic:blipFill>
                  <pic:spPr>
                    <a:xfrm>
                      <a:off x="0" y="0"/>
                      <a:ext cx="5667375" cy="3324225"/>
                    </a:xfrm>
                    <a:prstGeom prst="rect">
                      <a:avLst/>
                    </a:prstGeom>
                  </pic:spPr>
                </pic:pic>
              </a:graphicData>
            </a:graphic>
          </wp:inline>
        </w:drawing>
      </w:r>
    </w:p>
    <w:p w14:paraId="0C18B882">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sz w:val="18"/>
          <w:szCs w:val="18"/>
        </w:rPr>
        <w:t xml:space="preserve"> </w:t>
      </w:r>
      <w:r>
        <w:rPr>
          <w:rFonts w:hint="eastAsia"/>
          <w:sz w:val="18"/>
          <w:szCs w:val="18"/>
        </w:rPr>
        <w:t>网格图-夏季</w:t>
      </w:r>
    </w:p>
    <w:p w14:paraId="7704D74F">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hint="eastAsia" w:ascii="微软雅黑" w:hAnsi="微软雅黑" w:eastAsia="微软雅黑"/>
          <w:sz w:val="18"/>
          <w:szCs w:val="18"/>
        </w:rPr>
        <w:t>过渡季网格划分信息</w:t>
      </w:r>
    </w:p>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7B4D88FE">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2C376ED">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3632BA1">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7EC6C81">
            <w:pPr>
              <w:jc w:val="center"/>
              <w:rPr>
                <w:sz w:val="18"/>
                <w:szCs w:val="18"/>
              </w:rPr>
            </w:pPr>
            <w:r>
              <w:rPr>
                <w:rFonts w:hint="eastAsia"/>
                <w:sz w:val="18"/>
                <w:szCs w:val="18"/>
              </w:rPr>
              <w:t>网格尺寸</w:t>
            </w:r>
          </w:p>
        </w:tc>
      </w:tr>
      <w:tr w14:paraId="00DFD7D4">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6BDC49AE">
            <w:pPr>
              <w:jc w:val="center"/>
              <w:rPr>
                <w:sz w:val="18"/>
                <w:szCs w:val="18"/>
              </w:rPr>
            </w:pPr>
            <w:r>
              <w:t>267078</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BA0F881">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1E5B1AF">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F6E8325">
            <w:pPr>
              <w:jc w:val="center"/>
              <w:rPr>
                <w:sz w:val="18"/>
                <w:szCs w:val="18"/>
              </w:rPr>
            </w:pPr>
            <w:r>
              <w:t>0.24</w:t>
            </w:r>
          </w:p>
        </w:tc>
      </w:tr>
      <w:tr w14:paraId="4AC6DE82">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4000ACD">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37B85FA">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E7FAF06">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B3BD8C3">
            <w:pPr>
              <w:jc w:val="center"/>
              <w:rPr>
                <w:sz w:val="18"/>
                <w:szCs w:val="18"/>
              </w:rPr>
            </w:pPr>
            <w:r>
              <w:t>16.0</w:t>
            </w:r>
          </w:p>
        </w:tc>
      </w:tr>
      <w:tr w14:paraId="4DD8F39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F0CE10D">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1FCD0FD">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CEB44CE">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65604810">
            <w:pPr>
              <w:jc w:val="center"/>
              <w:rPr>
                <w:sz w:val="18"/>
                <w:szCs w:val="18"/>
              </w:rPr>
            </w:pPr>
            <w:r>
              <w:t>4.0</w:t>
            </w:r>
          </w:p>
        </w:tc>
      </w:tr>
      <w:tr w14:paraId="26132BBF">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C9DCDE3">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5E01D6F">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5881C31">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EDEE871">
            <w:pPr>
              <w:jc w:val="center"/>
              <w:rPr>
                <w:sz w:val="18"/>
                <w:szCs w:val="18"/>
              </w:rPr>
            </w:pPr>
            <w:r>
              <w:t>4.0</w:t>
            </w:r>
          </w:p>
        </w:tc>
      </w:tr>
      <w:tr w14:paraId="5F9019C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90B222F">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A107171">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CA79359">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10F296C2">
            <w:pPr>
              <w:jc w:val="center"/>
              <w:rPr>
                <w:sz w:val="18"/>
                <w:szCs w:val="18"/>
              </w:rPr>
            </w:pPr>
            <w:r>
              <w:t>8.0</w:t>
            </w:r>
          </w:p>
        </w:tc>
      </w:tr>
      <w:tr w14:paraId="7214CCA5">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24422F7">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4FC8D73">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C64D0FD">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6CD222C5">
            <w:pPr>
              <w:jc w:val="center"/>
              <w:rPr>
                <w:sz w:val="18"/>
                <w:szCs w:val="18"/>
              </w:rPr>
            </w:pPr>
            <w:r>
              <w:t>4.0</w:t>
            </w:r>
          </w:p>
        </w:tc>
      </w:tr>
    </w:tbl>
    <w:p w14:paraId="2B67AE27">
      <w:pPr>
        <w:spacing w:line="400" w:lineRule="exact"/>
        <w:rPr>
          <w:sz w:val="18"/>
          <w:szCs w:val="18"/>
          <w:lang w:val="en-US"/>
        </w:rPr>
      </w:pPr>
    </w:p>
    <w:p w14:paraId="156B910A">
      <w:pPr>
        <w:jc w:val="center"/>
      </w:pPr>
      <w:r>
        <w:drawing>
          <wp:inline distT="0" distB="0" distL="0" distR="0">
            <wp:extent cx="5667375" cy="33242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6"/>
                    <a:stretch>
                      <a:fillRect/>
                    </a:stretch>
                  </pic:blipFill>
                  <pic:spPr>
                    <a:xfrm>
                      <a:off x="0" y="0"/>
                      <a:ext cx="5667375" cy="3324225"/>
                    </a:xfrm>
                    <a:prstGeom prst="rect">
                      <a:avLst/>
                    </a:prstGeom>
                  </pic:spPr>
                </pic:pic>
              </a:graphicData>
            </a:graphic>
          </wp:inline>
        </w:drawing>
      </w:r>
    </w:p>
    <w:p w14:paraId="5B9BCA69">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sz w:val="18"/>
          <w:szCs w:val="18"/>
        </w:rPr>
        <w:t xml:space="preserve"> </w:t>
      </w:r>
      <w:r>
        <w:rPr>
          <w:rFonts w:hint="eastAsia"/>
          <w:sz w:val="18"/>
          <w:szCs w:val="18"/>
        </w:rPr>
        <w:t>网格图-过渡季</w:t>
      </w:r>
    </w:p>
    <w:p w14:paraId="7A418562">
      <w:pPr>
        <w:pStyle w:val="3"/>
        <w:ind w:firstLine="630" w:firstLineChars="30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334DC801">
      <w:pPr>
        <w:pStyle w:val="3"/>
        <w:ind w:firstLine="0" w:firstLineChars="0"/>
        <w:rPr>
          <w:rFonts w:ascii="微软雅黑" w:hAnsi="微软雅黑" w:eastAsia="微软雅黑"/>
          <w:szCs w:val="20"/>
          <w:lang w:val="en-US"/>
        </w:rPr>
      </w:pPr>
    </w:p>
    <w:p w14:paraId="6957DC6F">
      <w:pPr>
        <w:pStyle w:val="4"/>
        <w:numPr>
          <w:ilvl w:val="1"/>
          <w:numId w:val="3"/>
        </w:numPr>
      </w:pPr>
      <w:bookmarkStart w:id="61" w:name="_Toc509844742"/>
      <w:bookmarkStart w:id="62" w:name="_Toc2514"/>
      <w:r>
        <w:rPr>
          <w:rFonts w:hint="eastAsia"/>
        </w:rPr>
        <w:t>边界条件</w:t>
      </w:r>
      <w:bookmarkEnd w:id="61"/>
      <w:bookmarkEnd w:id="62"/>
    </w:p>
    <w:p w14:paraId="6CB5D3DC">
      <w:r>
        <w:rPr>
          <w:lang w:val="en-US"/>
        </w:rPr>
        <w:drawing>
          <wp:inline distT="0" distB="0" distL="0" distR="0">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1C13FB20">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45387EFD">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4D005563">
      <w:pPr>
        <w:pStyle w:val="5"/>
      </w:pPr>
      <w:bookmarkStart w:id="63" w:name="_Toc509844743"/>
      <w:r>
        <w:rPr>
          <w:rFonts w:hint="eastAsia"/>
        </w:rPr>
        <w:t>入口与出口边界条件</w:t>
      </w:r>
      <w:bookmarkEnd w:id="63"/>
    </w:p>
    <w:p w14:paraId="4057A959">
      <w:r>
        <w:rPr>
          <w:rFonts w:hint="eastAsia"/>
        </w:rPr>
        <w:t>1）入口风速梯度</w:t>
      </w:r>
    </w:p>
    <w:p w14:paraId="714E63E9">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6504BF4E">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0.5pt;width:71.25pt;" o:ole="t" filled="f" o:preferrelative="t" stroked="f" coordsize="21600,21600">
            <v:path/>
            <v:fill on="f" focussize="0,0"/>
            <v:stroke on="f" joinstyle="miter"/>
            <v:imagedata r:id="rId19" o:title=""/>
            <o:lock v:ext="edit" aspectratio="t"/>
            <w10:wrap type="none"/>
            <w10:anchorlock/>
          </v:shape>
          <o:OLEObject Type="Embed" ProgID="Equation.3" ShapeID="_x0000_i1025" DrawAspect="Content" ObjectID="_1468075725" r:id="rId18">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3580C1CF">
      <w:pPr>
        <w:pStyle w:val="3"/>
        <w:ind w:firstLine="0" w:firstLineChars="0"/>
        <w:rPr>
          <w:rFonts w:ascii="微软雅黑" w:hAnsi="微软雅黑" w:eastAsia="微软雅黑"/>
          <w:lang w:val="en-US"/>
        </w:rPr>
      </w:pPr>
      <w:r>
        <w:rPr>
          <w:rFonts w:hint="eastAsia" w:ascii="微软雅黑" w:hAnsi="微软雅黑" w:eastAsia="微软雅黑"/>
          <w:lang w:val="en-US"/>
        </w:rPr>
        <w:t>式中：</w:t>
      </w:r>
    </w:p>
    <w:p w14:paraId="6505DD93">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028126CF">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pt;width:15pt;" o:ole="t" filled="f" o:preferrelative="t" stroked="f" coordsize="21600,21600">
            <v:path/>
            <v:fill on="f" focussize="0,0"/>
            <v:stroke on="f" joinstyle="miter"/>
            <v:imagedata r:id="rId21" o:title=""/>
            <o:lock v:ext="edit" aspectratio="t"/>
            <w10:wrap type="none"/>
            <w10:anchorlock/>
          </v:shape>
          <o:OLEObject Type="Embed" ProgID="Equation.3" ShapeID="_x0000_i1026" DrawAspect="Content" ObjectID="_1468075726" r:id="rId20">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pt;width:13.5pt;" o:ole="t" filled="f" o:preferrelative="t" stroked="f" coordsize="21600,21600">
            <v:path/>
            <v:fill on="f" focussize="0,0"/>
            <v:stroke on="f" joinstyle="miter"/>
            <v:imagedata r:id="rId23" o:title=""/>
            <o:lock v:ext="edit" aspectratio="t"/>
            <w10:wrap type="none"/>
            <w10:anchorlock/>
          </v:shape>
          <o:OLEObject Type="Embed" ProgID="Equation.3" ShapeID="_x0000_i1027" DrawAspect="Content" ObjectID="_1468075727" r:id="rId22">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2BDFB327">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1CF537C3">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地面粗糙度指数参考值</w:t>
      </w:r>
    </w:p>
    <w:tbl>
      <w:tblPr>
        <w:tblStyle w:val="28"/>
        <w:tblW w:w="8222" w:type="dxa"/>
        <w:tblInd w:w="108" w:type="dxa"/>
        <w:tblLayout w:type="autofit"/>
        <w:tblCellMar>
          <w:top w:w="0" w:type="dxa"/>
          <w:left w:w="108" w:type="dxa"/>
          <w:bottom w:w="0" w:type="dxa"/>
          <w:right w:w="108" w:type="dxa"/>
        </w:tblCellMar>
      </w:tblPr>
      <w:tblGrid>
        <w:gridCol w:w="2864"/>
        <w:gridCol w:w="2948"/>
        <w:gridCol w:w="2410"/>
      </w:tblGrid>
      <w:tr w14:paraId="1841DD4A">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436F183F">
            <w:pPr>
              <w:pStyle w:val="59"/>
              <w:rPr>
                <w:b/>
              </w:rPr>
            </w:pPr>
            <w:r>
              <w:rPr>
                <w:rFonts w:hint="eastAsia"/>
                <w:b/>
              </w:rPr>
              <w:t>参考标准</w:t>
            </w:r>
          </w:p>
        </w:tc>
        <w:tc>
          <w:tcPr>
            <w:tcW w:w="2948" w:type="dxa"/>
            <w:tcBorders>
              <w:top w:val="single" w:color="auto" w:sz="4" w:space="0"/>
              <w:left w:val="nil"/>
              <w:bottom w:val="single" w:color="auto" w:sz="4" w:space="0"/>
              <w:right w:val="single" w:color="auto" w:sz="4" w:space="0"/>
            </w:tcBorders>
            <w:vAlign w:val="center"/>
          </w:tcPr>
          <w:p w14:paraId="02B2C5CC">
            <w:pPr>
              <w:pStyle w:val="59"/>
              <w:rPr>
                <w:b/>
              </w:rPr>
            </w:pPr>
            <w:r>
              <w:rPr>
                <w:rFonts w:hint="eastAsia"/>
                <w:b/>
              </w:rPr>
              <w:t>地貌类别</w:t>
            </w:r>
          </w:p>
        </w:tc>
        <w:tc>
          <w:tcPr>
            <w:tcW w:w="2410" w:type="dxa"/>
            <w:tcBorders>
              <w:top w:val="single" w:color="auto" w:sz="4" w:space="0"/>
              <w:left w:val="nil"/>
              <w:bottom w:val="single" w:color="auto" w:sz="4" w:space="0"/>
              <w:right w:val="single" w:color="auto" w:sz="4" w:space="0"/>
            </w:tcBorders>
          </w:tcPr>
          <w:p w14:paraId="57B4F2D9">
            <w:pPr>
              <w:pStyle w:val="59"/>
              <w:rPr>
                <w:b/>
              </w:rPr>
            </w:pPr>
            <w:r>
              <w:rPr>
                <w:rFonts w:hint="eastAsia"/>
                <w:b/>
              </w:rPr>
              <w:t>地面粗糙度指数</w:t>
            </w:r>
          </w:p>
        </w:tc>
      </w:tr>
      <w:tr w14:paraId="26345D0C">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176C5330">
            <w:pPr>
              <w:pStyle w:val="59"/>
              <w:rPr>
                <w:b/>
              </w:rPr>
            </w:pPr>
            <w:r>
              <w:rPr>
                <w:rFonts w:hint="eastAsia"/>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21BC6E3D">
            <w:pPr>
              <w:pStyle w:val="59"/>
            </w:pPr>
            <w:r>
              <w:rPr>
                <w:rFonts w:hint="eastAsia"/>
              </w:rPr>
              <w:t>空旷平坦地面</w:t>
            </w:r>
          </w:p>
        </w:tc>
        <w:tc>
          <w:tcPr>
            <w:tcW w:w="2410" w:type="dxa"/>
            <w:tcBorders>
              <w:top w:val="single" w:color="auto" w:sz="4" w:space="0"/>
              <w:left w:val="nil"/>
              <w:bottom w:val="single" w:color="auto" w:sz="4" w:space="0"/>
              <w:right w:val="single" w:color="auto" w:sz="4" w:space="0"/>
            </w:tcBorders>
            <w:vAlign w:val="center"/>
          </w:tcPr>
          <w:p w14:paraId="20B5E265">
            <w:pPr>
              <w:pStyle w:val="59"/>
            </w:pPr>
            <w:r>
              <w:rPr>
                <w:rFonts w:hint="eastAsia"/>
              </w:rPr>
              <w:t>0.14</w:t>
            </w:r>
          </w:p>
        </w:tc>
      </w:tr>
      <w:tr w14:paraId="3E384032">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4CE61512">
            <w:pPr>
              <w:pStyle w:val="59"/>
              <w:rPr>
                <w:b/>
              </w:rPr>
            </w:pPr>
          </w:p>
        </w:tc>
        <w:tc>
          <w:tcPr>
            <w:tcW w:w="2948" w:type="dxa"/>
            <w:tcBorders>
              <w:top w:val="single" w:color="auto" w:sz="4" w:space="0"/>
              <w:left w:val="nil"/>
              <w:bottom w:val="single" w:color="auto" w:sz="4" w:space="0"/>
              <w:right w:val="single" w:color="auto" w:sz="4" w:space="0"/>
            </w:tcBorders>
            <w:vAlign w:val="center"/>
          </w:tcPr>
          <w:p w14:paraId="73C3973A">
            <w:pPr>
              <w:pStyle w:val="59"/>
            </w:pPr>
            <w:r>
              <w:rPr>
                <w:rFonts w:hint="eastAsia"/>
              </w:rPr>
              <w:t>城市郊区</w:t>
            </w:r>
          </w:p>
        </w:tc>
        <w:tc>
          <w:tcPr>
            <w:tcW w:w="2410" w:type="dxa"/>
            <w:tcBorders>
              <w:top w:val="single" w:color="auto" w:sz="4" w:space="0"/>
              <w:left w:val="nil"/>
              <w:bottom w:val="single" w:color="auto" w:sz="4" w:space="0"/>
              <w:right w:val="single" w:color="auto" w:sz="4" w:space="0"/>
            </w:tcBorders>
            <w:vAlign w:val="center"/>
          </w:tcPr>
          <w:p w14:paraId="2499C532">
            <w:pPr>
              <w:pStyle w:val="59"/>
            </w:pPr>
            <w:r>
              <w:rPr>
                <w:rFonts w:hint="eastAsia"/>
              </w:rPr>
              <w:t>0.22</w:t>
            </w:r>
          </w:p>
        </w:tc>
      </w:tr>
      <w:tr w14:paraId="4D48E87A">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2427DA91">
            <w:pPr>
              <w:pStyle w:val="59"/>
              <w:rPr>
                <w:b/>
              </w:rPr>
            </w:pPr>
          </w:p>
        </w:tc>
        <w:tc>
          <w:tcPr>
            <w:tcW w:w="2948" w:type="dxa"/>
            <w:tcBorders>
              <w:top w:val="single" w:color="auto" w:sz="4" w:space="0"/>
              <w:left w:val="nil"/>
              <w:bottom w:val="single" w:color="auto" w:sz="4" w:space="0"/>
              <w:right w:val="single" w:color="auto" w:sz="4" w:space="0"/>
            </w:tcBorders>
            <w:vAlign w:val="center"/>
          </w:tcPr>
          <w:p w14:paraId="11A7D4B8">
            <w:pPr>
              <w:pStyle w:val="59"/>
            </w:pPr>
            <w:r>
              <w:rPr>
                <w:rFonts w:hint="eastAsia"/>
              </w:rPr>
              <w:t>大城市中心</w:t>
            </w:r>
          </w:p>
        </w:tc>
        <w:tc>
          <w:tcPr>
            <w:tcW w:w="2410" w:type="dxa"/>
            <w:tcBorders>
              <w:top w:val="single" w:color="auto" w:sz="4" w:space="0"/>
              <w:left w:val="nil"/>
              <w:bottom w:val="single" w:color="auto" w:sz="4" w:space="0"/>
              <w:right w:val="single" w:color="auto" w:sz="4" w:space="0"/>
            </w:tcBorders>
            <w:vAlign w:val="center"/>
          </w:tcPr>
          <w:p w14:paraId="001271DD">
            <w:pPr>
              <w:pStyle w:val="59"/>
            </w:pPr>
            <w:r>
              <w:rPr>
                <w:rFonts w:hint="eastAsia"/>
              </w:rPr>
              <w:t>0.28</w:t>
            </w:r>
          </w:p>
        </w:tc>
      </w:tr>
    </w:tbl>
    <w:p w14:paraId="4C2ADAD0">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3028886A">
      <w:pPr>
        <w:spacing w:before="156" w:beforeLines="50"/>
      </w:pPr>
      <w:r>
        <w:t>2）出口边界</w:t>
      </w:r>
      <w:r>
        <w:rPr>
          <w:rFonts w:hint="eastAsia"/>
        </w:rPr>
        <w:t>条件</w:t>
      </w:r>
    </w:p>
    <w:p w14:paraId="3DFDB888">
      <w:pPr>
        <w:spacing w:before="156" w:beforeLines="50"/>
        <w:ind w:firstLine="420"/>
      </w:pPr>
      <w:r>
        <w:rPr>
          <w:rFonts w:hint="eastAsia"/>
          <w:lang w:val="en-US"/>
        </w:rPr>
        <w:t>本项目采用自由出流作为出口边界条件。</w:t>
      </w:r>
    </w:p>
    <w:p w14:paraId="366E3BB6">
      <w:pPr>
        <w:pStyle w:val="5"/>
      </w:pPr>
      <w:bookmarkStart w:id="65" w:name="_Toc509844744"/>
      <w:r>
        <w:rPr>
          <w:rFonts w:hint="eastAsia"/>
        </w:rPr>
        <w:t>壁面边界条件</w:t>
      </w:r>
      <w:bookmarkEnd w:id="65"/>
    </w:p>
    <w:p w14:paraId="5D9BCD38">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2A844191">
      <w:pPr>
        <w:pStyle w:val="3"/>
        <w:ind w:firstLine="42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60E2ABD1">
      <w:pPr>
        <w:pStyle w:val="4"/>
        <w:numPr>
          <w:ilvl w:val="1"/>
          <w:numId w:val="3"/>
        </w:numPr>
      </w:pPr>
      <w:bookmarkStart w:id="66" w:name="_Toc21192"/>
      <w:r>
        <w:rPr>
          <w:rFonts w:hint="eastAsia"/>
        </w:rPr>
        <w:t>湍流模型</w:t>
      </w:r>
      <w:bookmarkEnd w:id="38"/>
      <w:bookmarkEnd w:id="39"/>
      <w:bookmarkEnd w:id="66"/>
    </w:p>
    <w:p w14:paraId="1DFEF746">
      <w:pPr>
        <w:pStyle w:val="3"/>
        <w:ind w:firstLine="42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w:t>
      </w:r>
    </w:p>
    <w:p w14:paraId="3153860E">
      <w:pPr>
        <w:pStyle w:val="3"/>
        <w:ind w:firstLine="420"/>
        <w:rPr>
          <w:rFonts w:ascii="微软雅黑" w:hAnsi="微软雅黑" w:eastAsia="微软雅黑"/>
        </w:rPr>
      </w:pPr>
      <w:r>
        <w:rPr>
          <w:rFonts w:hint="eastAsia" w:ascii="微软雅黑" w:hAnsi="微软雅黑" w:eastAsia="微软雅黑"/>
        </w:rPr>
        <w:t>本项目依据《绿色建筑评价技术细则》推荐的标准k-ε湍流模型进行室外流场计算。</w:t>
      </w:r>
    </w:p>
    <w:p w14:paraId="4C27A73E">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155F3152">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常用湍流模型适用范围</w:t>
      </w:r>
    </w:p>
    <w:tbl>
      <w:tblPr>
        <w:tblStyle w:val="28"/>
        <w:tblW w:w="8379" w:type="dxa"/>
        <w:tblInd w:w="93" w:type="dxa"/>
        <w:tblLayout w:type="fixed"/>
        <w:tblCellMar>
          <w:top w:w="0" w:type="dxa"/>
          <w:left w:w="108" w:type="dxa"/>
          <w:bottom w:w="0" w:type="dxa"/>
          <w:right w:w="108" w:type="dxa"/>
        </w:tblCellMar>
      </w:tblPr>
      <w:tblGrid>
        <w:gridCol w:w="2000"/>
        <w:gridCol w:w="6379"/>
      </w:tblGrid>
      <w:tr w14:paraId="578584A9">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2E88CD81">
            <w:pPr>
              <w:pStyle w:val="59"/>
            </w:pPr>
            <w:bookmarkStart w:id="67" w:name="_Toc451698939"/>
            <w:bookmarkStart w:id="68" w:name="_Toc452108767"/>
            <w:r>
              <w:rPr>
                <w:rFonts w:hint="eastAsia"/>
              </w:rPr>
              <w:t>常用湍流模型</w:t>
            </w:r>
          </w:p>
        </w:tc>
        <w:tc>
          <w:tcPr>
            <w:tcW w:w="6379" w:type="dxa"/>
            <w:tcBorders>
              <w:top w:val="single" w:color="auto" w:sz="4" w:space="0"/>
              <w:left w:val="nil"/>
              <w:bottom w:val="single" w:color="auto" w:sz="4" w:space="0"/>
              <w:right w:val="single" w:color="auto" w:sz="4" w:space="0"/>
            </w:tcBorders>
            <w:vAlign w:val="center"/>
          </w:tcPr>
          <w:p w14:paraId="692EC714">
            <w:pPr>
              <w:pStyle w:val="59"/>
            </w:pPr>
            <w:r>
              <w:rPr>
                <w:rFonts w:hint="eastAsia"/>
              </w:rPr>
              <w:t>特点和适用工况</w:t>
            </w:r>
          </w:p>
        </w:tc>
      </w:tr>
      <w:tr w14:paraId="65996A51">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6B38B32B">
            <w:pPr>
              <w:pStyle w:val="59"/>
            </w:pPr>
            <w:r>
              <w:rPr>
                <w:rFonts w:hint="eastAsia"/>
              </w:rPr>
              <w:t xml:space="preserve"> standard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5E6B8181">
            <w:pPr>
              <w:pStyle w:val="59"/>
            </w:pPr>
            <w:r>
              <w:rPr>
                <w:rFonts w:hint="eastAsia"/>
              </w:rPr>
              <w:t>简单的工业流场和热交换模拟，无较大压力梯度、分离、强曲率流，适用于初始的参数研究</w:t>
            </w:r>
          </w:p>
        </w:tc>
      </w:tr>
      <w:tr w14:paraId="13353D5C">
        <w:tblPrEx>
          <w:tblCellMar>
            <w:top w:w="0" w:type="dxa"/>
            <w:left w:w="108" w:type="dxa"/>
            <w:bottom w:w="0" w:type="dxa"/>
            <w:right w:w="108" w:type="dxa"/>
          </w:tblCellMar>
        </w:tblPrEx>
        <w:trPr>
          <w:trHeight w:val="70" w:hRule="atLeast"/>
        </w:trPr>
        <w:tc>
          <w:tcPr>
            <w:tcW w:w="2000" w:type="dxa"/>
            <w:tcBorders>
              <w:top w:val="nil"/>
              <w:left w:val="single" w:color="auto" w:sz="4" w:space="0"/>
              <w:bottom w:val="single" w:color="auto" w:sz="4" w:space="0"/>
              <w:right w:val="single" w:color="auto" w:sz="4" w:space="0"/>
            </w:tcBorders>
            <w:vAlign w:val="center"/>
          </w:tcPr>
          <w:p w14:paraId="2A47F4CB">
            <w:pPr>
              <w:pStyle w:val="59"/>
            </w:pPr>
            <w:r>
              <w:rPr>
                <w:rFonts w:hint="eastAsia"/>
              </w:rPr>
              <w:t>RNG k-ε</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0AF405A1">
            <w:pPr>
              <w:pStyle w:val="59"/>
            </w:pPr>
            <w:r>
              <w:rPr>
                <w:rFonts w:hint="eastAsia"/>
              </w:rPr>
              <w:t>适合包括快速应变的复杂剪切流、中等旋涡流动、局部转捩流如边界层分离、钝体尾迹涡、大角度失速、房间通风、室外空气流动</w:t>
            </w:r>
          </w:p>
        </w:tc>
      </w:tr>
      <w:tr w14:paraId="480A1D8D">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7B7D72AA">
            <w:pPr>
              <w:pStyle w:val="59"/>
            </w:pPr>
            <w:r>
              <w:rPr>
                <w:rFonts w:hint="eastAsia"/>
              </w:rPr>
              <w:t xml:space="preserve">realizable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1A542494">
            <w:pPr>
              <w:pStyle w:val="59"/>
            </w:pPr>
            <w:r>
              <w:rPr>
                <w:rFonts w:hint="eastAsia"/>
              </w:rPr>
              <w:t>旋转流动、强逆压梯度的边界层流动、流动分离和二次流，类似于RNG</w:t>
            </w:r>
          </w:p>
        </w:tc>
      </w:tr>
    </w:tbl>
    <w:p w14:paraId="540F93DF">
      <w:pPr>
        <w:pStyle w:val="4"/>
        <w:numPr>
          <w:ilvl w:val="1"/>
          <w:numId w:val="3"/>
        </w:numPr>
      </w:pPr>
      <w:bookmarkStart w:id="69" w:name="_Toc24536"/>
      <w:r>
        <w:rPr>
          <w:rFonts w:hint="eastAsia"/>
        </w:rPr>
        <w:t>求解计算</w:t>
      </w:r>
      <w:bookmarkEnd w:id="67"/>
      <w:bookmarkEnd w:id="68"/>
      <w:bookmarkEnd w:id="69"/>
    </w:p>
    <w:p w14:paraId="630761C3">
      <w:pPr>
        <w:pStyle w:val="5"/>
      </w:pPr>
      <w:r>
        <w:rPr>
          <w:rFonts w:hint="eastAsia"/>
        </w:rPr>
        <w:t>数学模型</w:t>
      </w:r>
    </w:p>
    <w:p w14:paraId="21BADE82">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715B554C">
      <w:pPr>
        <w:pStyle w:val="3"/>
        <w:ind w:firstLine="0" w:firstLineChars="0"/>
        <w:jc w:val="center"/>
        <w:rPr>
          <w:rFonts w:ascii="微软雅黑" w:hAnsi="微软雅黑" w:eastAsia="微软雅黑"/>
          <w:lang w:val="en-US"/>
        </w:rPr>
      </w:pPr>
      <m:oMathPara>
        <m:oMathParaPr>
          <m:jc m:val="center"/>
        </m:oMathParaPr>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00E8DF62">
      <w:pPr>
        <w:pStyle w:val="3"/>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1200387E">
      <w:pPr>
        <w:pStyle w:val="3"/>
        <w:ind w:firstLine="0" w:firstLineChars="0"/>
        <w:jc w:val="center"/>
        <w:rPr>
          <w:rFonts w:ascii="微软雅黑" w:hAnsi="微软雅黑" w:eastAsia="微软雅黑"/>
          <w:sz w:val="18"/>
          <w:szCs w:val="18"/>
        </w:rPr>
      </w:pPr>
      <w:bookmarkStart w:id="70" w:name="_Ref237071533"/>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bookmarkEnd w:id="70"/>
      <w:r>
        <w:rPr>
          <w:rFonts w:hint="eastAsia" w:ascii="微软雅黑" w:hAnsi="微软雅黑" w:eastAsia="微软雅黑"/>
          <w:sz w:val="18"/>
          <w:szCs w:val="18"/>
        </w:rPr>
        <w:t xml:space="preserve"> </w:t>
      </w:r>
      <w:bookmarkStart w:id="71" w:name="_Ref225175618"/>
      <w:r>
        <w:rPr>
          <w:rFonts w:hint="eastAsia" w:ascii="微软雅黑" w:hAnsi="微软雅黑" w:eastAsia="微软雅黑"/>
          <w:sz w:val="18"/>
          <w:szCs w:val="18"/>
        </w:rPr>
        <w:t>计算流体力学的控制方程</w:t>
      </w:r>
      <w:bookmarkEnd w:id="71"/>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673946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58E8B29">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4ABDBE52">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10CCD91B">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560FA6FD">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39A08A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390D97D">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58047449">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35FE2340">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35513475">
            <w:pPr>
              <w:widowControl w:val="0"/>
              <w:jc w:val="both"/>
              <w:rPr>
                <w:rFonts w:cs="Calibri"/>
                <w:kern w:val="2"/>
                <w:sz w:val="18"/>
                <w:szCs w:val="18"/>
              </w:rPr>
            </w:pPr>
            <w:r>
              <w:rPr>
                <w:sz w:val="18"/>
                <w:szCs w:val="18"/>
              </w:rPr>
              <w:t>0</w:t>
            </w:r>
          </w:p>
        </w:tc>
      </w:tr>
      <w:tr w14:paraId="7961BB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0C0A53F">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6271BBB">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663762B">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5D3AE04">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3F335D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6348CD1">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8E47E9B">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FBABACA">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B40007E">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73EFA0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88026C3">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75654B2">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A67A1DF">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F1D6D11">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45E1DA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2C84AD5">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3CFCC861">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A61AE1B">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9F67D3F">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377AD4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FDB8D1E">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2C96049A">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499C882">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14C019C">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57E02F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35E5D4D">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54673663">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29EDF0A8">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4C3AEC35">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00F85684">
      <w:pPr>
        <w:pStyle w:val="3"/>
        <w:ind w:firstLine="420" w:firstLineChars="0"/>
        <w:rPr>
          <w:rFonts w:ascii="微软雅黑" w:hAnsi="微软雅黑" w:eastAsia="微软雅黑"/>
          <w:lang w:val="en-US"/>
        </w:rPr>
      </w:pPr>
      <w:r>
        <w:rPr>
          <w:rFonts w:hint="eastAsia" w:ascii="微软雅黑" w:hAnsi="微软雅黑" w:eastAsia="微软雅黑"/>
          <w:lang w:val="en-US"/>
        </w:rPr>
        <w:t>上表中的常数如下：</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18F32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54AC70CA">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37E0AEBB">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6026F29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25715A7C">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51849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550D30E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464C150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3C7D8E3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7B1048C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5AE7F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349072F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44BE7E6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19BC326E">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1A551EC3">
            <w:pPr>
              <w:pStyle w:val="3"/>
              <w:spacing w:line="240" w:lineRule="atLeast"/>
              <w:ind w:firstLine="0" w:firstLineChars="0"/>
              <w:jc w:val="left"/>
              <w:rPr>
                <w:rFonts w:ascii="微软雅黑" w:hAnsi="微软雅黑" w:eastAsia="微软雅黑"/>
                <w:sz w:val="18"/>
                <w:szCs w:val="18"/>
                <w:lang w:val="en-US"/>
              </w:rPr>
            </w:pPr>
          </w:p>
        </w:tc>
      </w:tr>
      <w:tr w14:paraId="1A95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5307ECF3">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38EB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605BCBF1">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7E266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2BE91729">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28C75D43">
      <w:pPr>
        <w:pStyle w:val="3"/>
        <w:ind w:firstLine="525" w:firstLineChars="250"/>
        <w:rPr>
          <w:rFonts w:ascii="微软雅黑" w:hAnsi="微软雅黑" w:eastAsia="微软雅黑"/>
        </w:rPr>
      </w:pPr>
    </w:p>
    <w:p w14:paraId="4DE280C4">
      <w:pPr>
        <w:pStyle w:val="5"/>
      </w:pPr>
      <w:r>
        <w:rPr>
          <w:rFonts w:hint="eastAsia"/>
        </w:rPr>
        <w:t>算法说明</w:t>
      </w:r>
    </w:p>
    <w:p w14:paraId="729CE760">
      <w:pPr>
        <w:pStyle w:val="3"/>
        <w:ind w:firstLine="420" w:firstLineChars="0"/>
        <w:rPr>
          <w:rFonts w:ascii="微软雅黑" w:hAnsi="微软雅黑" w:eastAsia="微软雅黑"/>
          <w:b/>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131AC889">
      <w:pPr>
        <w:pStyle w:val="4"/>
      </w:pPr>
      <w:bookmarkStart w:id="72" w:name="_Toc509844747"/>
      <w:bookmarkStart w:id="73" w:name="_Toc17284"/>
      <w:r>
        <w:rPr>
          <w:rFonts w:hint="eastAsia"/>
        </w:rPr>
        <w:t>风速放大系数计算</w:t>
      </w:r>
      <w:bookmarkEnd w:id="72"/>
      <w:bookmarkEnd w:id="73"/>
    </w:p>
    <w:p w14:paraId="49FEB989">
      <w:pPr>
        <w:pStyle w:val="14"/>
        <w:ind w:firstLine="420"/>
        <w:rPr>
          <w:rFonts w:ascii="微软雅黑" w:hAnsi="微软雅黑" w:eastAsia="微软雅黑"/>
          <w:sz w:val="21"/>
          <w:lang w:val="en-US"/>
        </w:rPr>
      </w:pPr>
      <w:r>
        <w:rPr>
          <w:rFonts w:hint="eastAsia" w:ascii="微软雅黑" w:hAnsi="微软雅黑" w:eastAsia="微软雅黑"/>
          <w:sz w:val="21"/>
          <w:lang w:val="en-US"/>
        </w:rPr>
        <w:t>风速放大系数反映了高层建筑对风速的放大作用，通常指建筑物周围离地面高</w:t>
      </w:r>
      <w:r>
        <w:rPr>
          <w:rFonts w:ascii="微软雅黑" w:hAnsi="微软雅黑" w:eastAsia="微软雅黑"/>
          <w:sz w:val="21"/>
          <w:lang w:val="en-US"/>
        </w:rPr>
        <w:t>1.5m</w:t>
      </w:r>
      <w:r>
        <w:rPr>
          <w:rFonts w:hint="eastAsia" w:ascii="微软雅黑" w:hAnsi="微软雅黑" w:eastAsia="微软雅黑"/>
          <w:sz w:val="21"/>
          <w:lang w:val="en-US"/>
        </w:rPr>
        <w:t>处最大风速与开阔区域同高度风速之比。可采用下式平均风速随高度变化的指数函数进行风速放大系数的计算：</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213A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0480651F">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2DA95801">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21C9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6F9AC144">
            <w:pPr>
              <w:spacing w:line="360" w:lineRule="exact"/>
              <w:rPr>
                <w:lang w:val="en-US"/>
              </w:rPr>
            </w:pPr>
          </w:p>
        </w:tc>
        <w:tc>
          <w:tcPr>
            <w:tcW w:w="1832" w:type="dxa"/>
            <w:vAlign w:val="center"/>
          </w:tcPr>
          <w:p w14:paraId="3B016E8C">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58DDAC3D">
      <w:pPr>
        <w:pStyle w:val="3"/>
        <w:ind w:firstLine="420"/>
        <w:rPr>
          <w:rFonts w:ascii="微软雅黑" w:hAnsi="微软雅黑" w:eastAsia="微软雅黑"/>
          <w:lang w:val="en-US"/>
        </w:rPr>
      </w:pPr>
      <w:r>
        <w:rPr>
          <w:rFonts w:hint="eastAsia" w:ascii="微软雅黑" w:hAnsi="微软雅黑" w:eastAsia="微软雅黑"/>
          <w:lang w:val="en-US"/>
        </w:rPr>
        <w:t>其中：</w:t>
      </w:r>
    </w:p>
    <w:p w14:paraId="212CEDE3">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3.5pt;" o:ole="t" filled="f" o:preferrelative="t" stroked="f" coordsize="21600,21600">
            <v:path/>
            <v:fill on="f" focussize="0,0"/>
            <v:stroke on="f" joinstyle="miter"/>
            <v:imagedata r:id="rId25" o:title=""/>
            <o:lock v:ext="edit" aspectratio="t"/>
            <w10:wrap type="none"/>
            <w10:anchorlock/>
          </v:shape>
          <o:OLEObject Type="Embed" ProgID="Equation.3" ShapeID="_x0000_i1028" DrawAspect="Content" ObjectID="_1468075728" r:id="rId24">
            <o:LockedField>false</o:LockedField>
          </o:OLEObject>
        </w:object>
      </w:r>
      <w:r>
        <w:rPr>
          <w:rFonts w:hint="eastAsia" w:ascii="微软雅黑" w:hAnsi="微软雅黑" w:eastAsia="微软雅黑"/>
        </w:rPr>
        <w:t>——风速放大系数；</w:t>
      </w:r>
    </w:p>
    <w:p w14:paraId="07B71FBD">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pt;width:25.5pt;" o:ole="t" filled="f" o:preferrelative="t" stroked="f" coordsize="21600,21600">
            <v:path/>
            <v:fill on="f" focussize="0,0"/>
            <v:stroke on="f" joinstyle="miter"/>
            <v:imagedata r:id="rId27" o:title=""/>
            <o:lock v:ext="edit" aspectratio="t"/>
            <w10:wrap type="none"/>
            <w10:anchorlock/>
          </v:shape>
          <o:OLEObject Type="Embed" ProgID="Equation.3" ShapeID="_x0000_i1029" DrawAspect="Content" ObjectID="_1468075729" r:id="rId26">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37776D73">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21pt;width:25.5pt;" o:ole="t" filled="f" o:preferrelative="t" stroked="f" coordsize="21600,21600">
            <v:path/>
            <v:fill on="f" focussize="0,0"/>
            <v:stroke on="f" joinstyle="miter"/>
            <v:imagedata r:id="rId29" o:title=""/>
            <o:lock v:ext="edit" aspectratio="t"/>
            <w10:wrap type="none"/>
            <w10:anchorlock/>
          </v:shape>
          <o:OLEObject Type="Embed" ProgID="Equation.3" ShapeID="_x0000_i1030" DrawAspect="Content" ObjectID="_1468075730" r:id="rId28">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42A5E150">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21pt;width:21pt;" o:ole="t" filled="f" o:preferrelative="t" stroked="f" coordsize="21600,21600">
            <v:path/>
            <v:fill on="f" focussize="0,0"/>
            <v:stroke on="f" joinstyle="miter"/>
            <v:imagedata r:id="rId31" o:title=""/>
            <o:lock v:ext="edit" aspectratio="t"/>
            <w10:wrap type="none"/>
            <w10:anchorlock/>
          </v:shape>
          <o:OLEObject Type="Embed" ProgID="Equation.3" ShapeID="_x0000_i1031" DrawAspect="Content" ObjectID="_1468075731" r:id="rId30">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61766F35">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5ACC5F26"/>
    <w:p w14:paraId="3669F2F5">
      <w:pPr>
        <w:pStyle w:val="2"/>
      </w:pPr>
      <w:bookmarkStart w:id="75" w:name="_Toc452108768"/>
      <w:bookmarkStart w:id="76" w:name="_Toc28631"/>
      <w:r>
        <w:rPr>
          <w:rFonts w:hint="eastAsia"/>
        </w:rPr>
        <w:t>结果</w:t>
      </w:r>
      <w:r>
        <w:t>分析</w:t>
      </w:r>
      <w:bookmarkEnd w:id="75"/>
      <w:bookmarkEnd w:id="76"/>
    </w:p>
    <w:p w14:paraId="34EC4AEC">
      <w:pPr>
        <w:pStyle w:val="4"/>
      </w:pPr>
      <w:bookmarkStart w:id="77" w:name="_Toc15622"/>
      <w:r>
        <w:rPr>
          <w:rFonts w:hint="eastAsia"/>
        </w:rPr>
        <w:t>工况</w:t>
      </w:r>
      <w:r>
        <w:t>表</w:t>
      </w:r>
      <w:bookmarkEnd w:id="77"/>
    </w:p>
    <w:p w14:paraId="619FA195">
      <w:pPr>
        <w:ind w:firstLine="420"/>
      </w:pPr>
      <w:r>
        <w:rPr>
          <w:rFonts w:hint="eastAsia"/>
        </w:rPr>
        <w:t>本结果基于以下几个工况进行计算：</w:t>
      </w:r>
    </w:p>
    <w:tbl>
      <w:tblPr>
        <w:tblStyle w:val="2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184FD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vAlign w:val="center"/>
          </w:tcPr>
          <w:p w14:paraId="4DA44386">
            <w:pPr>
              <w:pStyle w:val="59"/>
            </w:pPr>
            <w:bookmarkStart w:id="78" w:name="计算工况表"/>
            <w:r>
              <w:rPr>
                <w:rFonts w:hint="eastAsia"/>
              </w:rPr>
              <w:t>序号</w:t>
            </w:r>
          </w:p>
        </w:tc>
        <w:tc>
          <w:tcPr>
            <w:tcW w:w="1166" w:type="pct"/>
            <w:shd w:val="clear" w:color="auto" w:fill="E6E6E6"/>
            <w:vAlign w:val="center"/>
          </w:tcPr>
          <w:p w14:paraId="68C142C6">
            <w:pPr>
              <w:pStyle w:val="59"/>
            </w:pPr>
            <w:r>
              <w:rPr>
                <w:rFonts w:hint="eastAsia"/>
              </w:rPr>
              <w:t>季节</w:t>
            </w:r>
          </w:p>
        </w:tc>
        <w:tc>
          <w:tcPr>
            <w:tcW w:w="1187" w:type="pct"/>
            <w:shd w:val="clear" w:color="auto" w:fill="E6E6E6"/>
            <w:vAlign w:val="center"/>
          </w:tcPr>
          <w:p w14:paraId="33A2DD2F">
            <w:pPr>
              <w:pStyle w:val="59"/>
            </w:pPr>
            <w:r>
              <w:rPr>
                <w:rFonts w:hint="eastAsia"/>
              </w:rPr>
              <w:t>风速</w:t>
            </w:r>
            <w:r>
              <w:t>(m/s)</w:t>
            </w:r>
          </w:p>
        </w:tc>
        <w:tc>
          <w:tcPr>
            <w:tcW w:w="994" w:type="pct"/>
            <w:shd w:val="clear" w:color="auto" w:fill="E6E6E6"/>
            <w:vAlign w:val="center"/>
          </w:tcPr>
          <w:p w14:paraId="449E0798">
            <w:pPr>
              <w:pStyle w:val="59"/>
            </w:pPr>
            <w:r>
              <w:rPr>
                <w:rFonts w:hint="eastAsia"/>
              </w:rPr>
              <w:t>风向</w:t>
            </w:r>
          </w:p>
        </w:tc>
        <w:tc>
          <w:tcPr>
            <w:tcW w:w="994" w:type="pct"/>
            <w:shd w:val="clear" w:color="auto" w:fill="E6E6E6"/>
            <w:vAlign w:val="center"/>
          </w:tcPr>
          <w:p w14:paraId="10EAD440">
            <w:pPr>
              <w:pStyle w:val="59"/>
            </w:pPr>
            <w:r>
              <w:rPr>
                <w:rFonts w:hint="eastAsia"/>
              </w:rPr>
              <w:t>风向（°</w:t>
            </w:r>
            <w:r>
              <w:t>）</w:t>
            </w:r>
          </w:p>
        </w:tc>
      </w:tr>
      <w:tr w14:paraId="256F8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48F615AB">
            <w:pPr>
              <w:pStyle w:val="59"/>
            </w:pPr>
            <w:r>
              <w:t>1</w:t>
            </w:r>
          </w:p>
        </w:tc>
        <w:tc>
          <w:tcPr>
            <w:tcW w:w="1166" w:type="pct"/>
            <w:vAlign w:val="center"/>
          </w:tcPr>
          <w:p w14:paraId="2169E912">
            <w:pPr>
              <w:pStyle w:val="59"/>
            </w:pPr>
            <w:r>
              <w:t>冬季</w:t>
            </w:r>
          </w:p>
        </w:tc>
        <w:tc>
          <w:tcPr>
            <w:tcW w:w="1187" w:type="pct"/>
            <w:vAlign w:val="center"/>
          </w:tcPr>
          <w:p w14:paraId="63DF4343">
            <w:pPr>
              <w:pStyle w:val="59"/>
            </w:pPr>
            <w:r>
              <w:t>4.70</w:t>
            </w:r>
          </w:p>
        </w:tc>
        <w:tc>
          <w:tcPr>
            <w:tcW w:w="994" w:type="pct"/>
            <w:vAlign w:val="center"/>
          </w:tcPr>
          <w:p w14:paraId="4CFF37E8">
            <w:pPr>
              <w:pStyle w:val="59"/>
            </w:pPr>
            <w:r>
              <w:t>N</w:t>
            </w:r>
          </w:p>
        </w:tc>
        <w:tc>
          <w:tcPr>
            <w:tcW w:w="994" w:type="pct"/>
            <w:vAlign w:val="center"/>
          </w:tcPr>
          <w:p w14:paraId="0188FB02">
            <w:pPr>
              <w:pStyle w:val="59"/>
            </w:pPr>
            <w:r>
              <w:t>90.0</w:t>
            </w:r>
          </w:p>
        </w:tc>
      </w:tr>
      <w:tr w14:paraId="3DAC4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3567A0D8">
            <w:pPr>
              <w:pStyle w:val="59"/>
            </w:pPr>
            <w:r>
              <w:t>2</w:t>
            </w:r>
          </w:p>
        </w:tc>
        <w:tc>
          <w:tcPr>
            <w:tcW w:w="1166" w:type="pct"/>
            <w:vAlign w:val="center"/>
          </w:tcPr>
          <w:p w14:paraId="3164F704">
            <w:pPr>
              <w:pStyle w:val="59"/>
            </w:pPr>
            <w:r>
              <w:t>夏季</w:t>
            </w:r>
          </w:p>
        </w:tc>
        <w:tc>
          <w:tcPr>
            <w:tcW w:w="1187" w:type="pct"/>
            <w:vAlign w:val="center"/>
          </w:tcPr>
          <w:p w14:paraId="61982FDC">
            <w:pPr>
              <w:pStyle w:val="59"/>
            </w:pPr>
            <w:r>
              <w:t>3.00</w:t>
            </w:r>
          </w:p>
        </w:tc>
        <w:tc>
          <w:tcPr>
            <w:tcW w:w="994" w:type="pct"/>
            <w:vAlign w:val="center"/>
          </w:tcPr>
          <w:p w14:paraId="1FE8007B">
            <w:pPr>
              <w:pStyle w:val="59"/>
            </w:pPr>
            <w:r>
              <w:t>SE</w:t>
            </w:r>
          </w:p>
        </w:tc>
        <w:tc>
          <w:tcPr>
            <w:tcW w:w="994" w:type="pct"/>
            <w:vAlign w:val="center"/>
          </w:tcPr>
          <w:p w14:paraId="696A7CF7">
            <w:pPr>
              <w:pStyle w:val="59"/>
            </w:pPr>
            <w:r>
              <w:t>315.0</w:t>
            </w:r>
          </w:p>
        </w:tc>
      </w:tr>
      <w:tr w14:paraId="32A08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2CA71F89">
            <w:pPr>
              <w:pStyle w:val="59"/>
            </w:pPr>
            <w:r>
              <w:t>3</w:t>
            </w:r>
          </w:p>
        </w:tc>
        <w:tc>
          <w:tcPr>
            <w:tcW w:w="1166" w:type="pct"/>
            <w:vAlign w:val="center"/>
          </w:tcPr>
          <w:p w14:paraId="77691575">
            <w:pPr>
              <w:pStyle w:val="59"/>
            </w:pPr>
            <w:r>
              <w:t>过渡季</w:t>
            </w:r>
          </w:p>
        </w:tc>
        <w:tc>
          <w:tcPr>
            <w:tcW w:w="1187" w:type="pct"/>
            <w:vAlign w:val="center"/>
          </w:tcPr>
          <w:p w14:paraId="6A3926C7">
            <w:pPr>
              <w:pStyle w:val="59"/>
            </w:pPr>
            <w:r>
              <w:t>3.00</w:t>
            </w:r>
          </w:p>
        </w:tc>
        <w:tc>
          <w:tcPr>
            <w:tcW w:w="994" w:type="pct"/>
            <w:vAlign w:val="center"/>
          </w:tcPr>
          <w:p w14:paraId="725E2D39">
            <w:pPr>
              <w:pStyle w:val="59"/>
            </w:pPr>
            <w:r>
              <w:t>E</w:t>
            </w:r>
          </w:p>
        </w:tc>
        <w:tc>
          <w:tcPr>
            <w:tcW w:w="994" w:type="pct"/>
            <w:vAlign w:val="center"/>
          </w:tcPr>
          <w:p w14:paraId="770D4B5F">
            <w:pPr>
              <w:pStyle w:val="59"/>
            </w:pPr>
            <w:r>
              <w:t>0.0</w:t>
            </w:r>
          </w:p>
        </w:tc>
      </w:tr>
      <w:bookmarkEnd w:id="78"/>
    </w:tbl>
    <w:p w14:paraId="49CDE3E1">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65804E88">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2"/>
                    <a:stretch>
                      <a:fillRect/>
                    </a:stretch>
                  </pic:blipFill>
                  <pic:spPr>
                    <a:xfrm>
                      <a:off x="0" y="0"/>
                      <a:ext cx="2736000" cy="2649600"/>
                    </a:xfrm>
                    <a:prstGeom prst="rect">
                      <a:avLst/>
                    </a:prstGeom>
                  </pic:spPr>
                </pic:pic>
              </a:graphicData>
            </a:graphic>
          </wp:inline>
        </w:drawing>
      </w:r>
    </w:p>
    <w:p w14:paraId="29713D7E">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77EE5A49">
      <w:pPr>
        <w:pStyle w:val="4"/>
      </w:pPr>
      <w:bookmarkStart w:id="79" w:name="_Toc509844750"/>
      <w:bookmarkStart w:id="80" w:name="_Toc5748"/>
      <w:r>
        <w:rPr>
          <w:rFonts w:hint="eastAsia"/>
        </w:rPr>
        <w:t>冬季工况</w:t>
      </w:r>
      <w:bookmarkEnd w:id="79"/>
      <w:bookmarkEnd w:id="80"/>
    </w:p>
    <w:p w14:paraId="3D7DA671">
      <w:pPr>
        <w:ind w:firstLine="420" w:firstLineChars="200"/>
        <w:jc w:val="both"/>
        <w:rPr>
          <w:rFonts w:ascii="微软雅黑" w:hAnsi="微软雅黑" w:eastAsia="微软雅黑"/>
        </w:rPr>
      </w:pPr>
      <w:r>
        <w:rPr>
          <w:rFonts w:hint="eastAsia" w:ascii="微软雅黑" w:hAnsi="微软雅黑" w:eastAsia="微软雅黑"/>
          <w:lang w:val="en-US"/>
        </w:rPr>
        <w:t>本项目冬季工况的入口边界风速为</w:t>
      </w:r>
      <w:bookmarkStart w:id="81" w:name="冬季入口边界风速"/>
      <w:r>
        <w:rPr>
          <w:rFonts w:hint="eastAsia" w:ascii="微软雅黑" w:hAnsi="微软雅黑" w:eastAsia="微软雅黑"/>
          <w:szCs w:val="21"/>
        </w:rPr>
        <w:t>4.70</w:t>
      </w:r>
      <w:bookmarkEnd w:id="81"/>
      <w:r>
        <w:rPr>
          <w:rFonts w:ascii="微软雅黑" w:hAnsi="微软雅黑" w:eastAsia="微软雅黑"/>
          <w:szCs w:val="21"/>
        </w:rPr>
        <w:t>m/s</w:t>
      </w:r>
      <w:r>
        <w:rPr>
          <w:rFonts w:hint="eastAsia" w:ascii="微软雅黑" w:hAnsi="微软雅黑" w:eastAsia="微软雅黑"/>
          <w:szCs w:val="21"/>
        </w:rPr>
        <w:t>，风向为</w:t>
      </w:r>
      <w:bookmarkStart w:id="82" w:name="冬季入口边界风向"/>
      <w:r>
        <w:rPr>
          <w:rFonts w:ascii="微软雅黑" w:hAnsi="微软雅黑" w:eastAsia="微软雅黑"/>
          <w:szCs w:val="21"/>
        </w:rPr>
        <w:t>N</w:t>
      </w:r>
      <w:bookmarkEnd w:id="82"/>
      <w:r>
        <w:rPr>
          <w:rFonts w:hint="eastAsia" w:ascii="微软雅黑" w:hAnsi="微软雅黑" w:eastAsia="微软雅黑"/>
          <w:szCs w:val="21"/>
        </w:rPr>
        <w:t>。</w:t>
      </w:r>
    </w:p>
    <w:p w14:paraId="062160B5">
      <w:pPr>
        <w:pStyle w:val="5"/>
      </w:pPr>
      <w:bookmarkStart w:id="83" w:name="_Toc509844751"/>
      <w:r>
        <w:rPr>
          <w:rFonts w:hint="eastAsia"/>
        </w:rPr>
        <w:t>人行区域风速达标分析</w:t>
      </w:r>
      <w:bookmarkEnd w:id="83"/>
      <w:r>
        <w:rPr>
          <w:rFonts w:hint="eastAsia"/>
        </w:rPr>
        <w:t xml:space="preserve"> </w:t>
      </w:r>
    </w:p>
    <w:p w14:paraId="4E6D4C52">
      <w:pPr>
        <w:pStyle w:val="3"/>
        <w:ind w:firstLine="420"/>
        <w:rPr>
          <w:rFonts w:ascii="微软雅黑" w:hAnsi="微软雅黑" w:eastAsia="微软雅黑"/>
        </w:rPr>
      </w:pPr>
      <w:r>
        <w:rPr>
          <w:rFonts w:hint="eastAsia" w:ascii="微软雅黑" w:hAnsi="微软雅黑" w:eastAsia="微软雅黑"/>
          <w:lang w:val="en-US"/>
        </w:rPr>
        <w:t>下图为本项目划定的</w:t>
      </w:r>
      <w:r>
        <w:rPr>
          <w:rFonts w:hint="eastAsia" w:ascii="微软雅黑" w:hAnsi="微软雅黑" w:eastAsia="微软雅黑"/>
          <w:b/>
          <w:lang w:val="en-US"/>
        </w:rPr>
        <w:t>人行区域</w:t>
      </w:r>
      <w:r>
        <w:rPr>
          <w:rFonts w:hint="eastAsia" w:ascii="微软雅黑" w:hAnsi="微软雅黑" w:eastAsia="微软雅黑"/>
          <w:lang w:val="en-US"/>
        </w:rPr>
        <w:t>风速分布云图，依据《绿色建筑评价标准》要求，重点关注人行走区域风场，如果有风速超标区域，图中会用速度上限值为5m/s的黑色等值线标示。</w:t>
      </w:r>
    </w:p>
    <w:p w14:paraId="566AAF83">
      <w:pPr>
        <w:pStyle w:val="3"/>
        <w:ind w:firstLine="420"/>
        <w:rPr>
          <w:rFonts w:ascii="微软雅黑" w:hAnsi="微软雅黑" w:eastAsia="微软雅黑"/>
          <w:lang w:val="en-US"/>
        </w:rPr>
      </w:pPr>
      <w:r>
        <w:rPr>
          <w:rFonts w:hint="eastAsia" w:ascii="微软雅黑" w:hAnsi="微软雅黑" w:eastAsia="微软雅黑"/>
          <w:lang w:val="en-US"/>
        </w:rPr>
        <w:t>分析下列图数据，</w:t>
      </w:r>
      <w:bookmarkStart w:id="84" w:name="冬季工况人行区风速分析结论"/>
      <w:bookmarkEnd w:id="84"/>
      <w:r>
        <w:rPr>
          <w:rFonts w:ascii="微软雅黑" w:hAnsi="微软雅黑" w:eastAsia="微软雅黑"/>
          <w:lang w:val="en-US"/>
        </w:rPr>
        <w:t>未标示出超标区域，可知人行区域风速为最大值为4.85m/s，小于5m/s，</w:t>
      </w:r>
      <w:r>
        <w:rPr>
          <w:rFonts w:ascii="微软雅黑" w:hAnsi="微软雅黑" w:eastAsia="微软雅黑"/>
          <w:color w:val="0000FF"/>
          <w:lang w:val="en-US"/>
        </w:rPr>
        <w:t>满足</w:t>
      </w:r>
      <w:r>
        <w:rPr>
          <w:rFonts w:ascii="微软雅黑" w:hAnsi="微软雅黑" w:eastAsia="微软雅黑"/>
          <w:lang w:val="en-US"/>
        </w:rPr>
        <w:t>绿标要求。</w:t>
      </w:r>
    </w:p>
    <w:p w14:paraId="28E0E010">
      <w:pPr>
        <w:pStyle w:val="3"/>
        <w:ind w:left="-6" w:leftChars="-3" w:firstLine="4" w:firstLineChars="2"/>
        <w:jc w:val="center"/>
        <w:rPr>
          <w:rFonts w:ascii="微软雅黑" w:hAnsi="微软雅黑" w:eastAsia="微软雅黑"/>
          <w:sz w:val="20"/>
          <w:szCs w:val="20"/>
        </w:rPr>
      </w:pPr>
      <w:bookmarkStart w:id="85" w:name="冬季工况人行区风速云图"/>
      <w:bookmarkEnd w:id="85"/>
      <w:r>
        <w:drawing>
          <wp:inline distT="0" distB="0" distL="0" distR="0">
            <wp:extent cx="5667375" cy="319087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3"/>
                    <a:stretch>
                      <a:fillRect/>
                    </a:stretch>
                  </pic:blipFill>
                  <pic:spPr>
                    <a:xfrm>
                      <a:off x="0" y="0"/>
                      <a:ext cx="5667375" cy="3190875"/>
                    </a:xfrm>
                    <a:prstGeom prst="rect">
                      <a:avLst/>
                    </a:prstGeom>
                  </pic:spPr>
                </pic:pic>
              </a:graphicData>
            </a:graphic>
          </wp:inline>
        </w:drawing>
      </w:r>
    </w:p>
    <w:p w14:paraId="556A8BC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人行区域-1.5米高度水平面风速云图-冬季</w:t>
      </w:r>
    </w:p>
    <w:p w14:paraId="0F2625C4">
      <w:pPr>
        <w:pStyle w:val="3"/>
        <w:ind w:firstLine="420"/>
        <w:rPr>
          <w:rFonts w:ascii="微软雅黑" w:hAnsi="微软雅黑" w:eastAsia="微软雅黑"/>
          <w:lang w:val="en-US"/>
        </w:rPr>
      </w:pPr>
    </w:p>
    <w:p w14:paraId="518CC7AA">
      <w:pPr>
        <w:pStyle w:val="5"/>
      </w:pPr>
      <w:bookmarkStart w:id="86" w:name="_Toc509844752"/>
      <w:r>
        <w:rPr>
          <w:rFonts w:hint="eastAsia"/>
        </w:rPr>
        <w:t>人行区域风速放大系数达标分析</w:t>
      </w:r>
      <w:bookmarkEnd w:id="86"/>
    </w:p>
    <w:p w14:paraId="0B0A5D18">
      <w:pPr>
        <w:pStyle w:val="3"/>
        <w:ind w:firstLine="420"/>
        <w:jc w:val="left"/>
        <w:rPr>
          <w:rFonts w:ascii="微软雅黑" w:hAnsi="微软雅黑" w:eastAsia="微软雅黑"/>
          <w:lang w:val="en-US"/>
        </w:rPr>
      </w:pPr>
      <w:r>
        <w:rPr>
          <w:rFonts w:hint="eastAsia" w:ascii="微软雅黑" w:hAnsi="微软雅黑" w:eastAsia="微软雅黑"/>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87" w:name="冬季工况人行区风速放大系数分析结论"/>
      <w:bookmarkEnd w:id="87"/>
      <w:r>
        <w:rPr>
          <w:rFonts w:ascii="微软雅黑" w:hAnsi="微软雅黑" w:eastAsia="微软雅黑"/>
          <w:lang w:val="en-US"/>
        </w:rPr>
        <w:t>图中未标示出风速放大系数超标区域，因此可知人行区域风速放大系数最大值为1.85，小于2，</w:t>
      </w:r>
      <w:r>
        <w:rPr>
          <w:rFonts w:ascii="微软雅黑" w:hAnsi="微软雅黑" w:eastAsia="微软雅黑"/>
          <w:color w:val="0000FF"/>
          <w:lang w:val="en-US"/>
        </w:rPr>
        <w:t>满足</w:t>
      </w:r>
      <w:r>
        <w:rPr>
          <w:rFonts w:ascii="微软雅黑" w:hAnsi="微软雅黑" w:eastAsia="微软雅黑"/>
          <w:lang w:val="en-US"/>
        </w:rPr>
        <w:t>绿标要求。</w:t>
      </w:r>
    </w:p>
    <w:p w14:paraId="6412D209">
      <w:pPr>
        <w:jc w:val="center"/>
        <w:rPr>
          <w:rFonts w:ascii="微软雅黑" w:hAnsi="微软雅黑" w:eastAsia="微软雅黑"/>
        </w:rPr>
      </w:pPr>
      <w:bookmarkStart w:id="88" w:name="冬季工况人行区风速放大系数云图"/>
      <w:bookmarkEnd w:id="88"/>
      <w:r>
        <w:drawing>
          <wp:inline distT="0" distB="0" distL="0" distR="0">
            <wp:extent cx="5667375" cy="31908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34"/>
                    <a:stretch>
                      <a:fillRect/>
                    </a:stretch>
                  </pic:blipFill>
                  <pic:spPr>
                    <a:xfrm>
                      <a:off x="0" y="0"/>
                      <a:ext cx="5667375" cy="3190875"/>
                    </a:xfrm>
                    <a:prstGeom prst="rect">
                      <a:avLst/>
                    </a:prstGeom>
                  </pic:spPr>
                </pic:pic>
              </a:graphicData>
            </a:graphic>
          </wp:inline>
        </w:drawing>
      </w:r>
    </w:p>
    <w:p w14:paraId="7E42407B">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人行区域-1.5米高度水平面风速放大系数云图-冬季</w:t>
      </w:r>
    </w:p>
    <w:p w14:paraId="7206D974">
      <w:pPr>
        <w:pStyle w:val="3"/>
        <w:ind w:firstLine="420"/>
        <w:rPr>
          <w:rFonts w:ascii="微软雅黑" w:hAnsi="微软雅黑" w:eastAsia="微软雅黑"/>
          <w:lang w:val="en-US"/>
        </w:rPr>
      </w:pPr>
    </w:p>
    <w:p w14:paraId="0F69A4C2">
      <w:pPr>
        <w:pStyle w:val="5"/>
      </w:pPr>
      <w:r>
        <w:rPr>
          <w:rFonts w:hint="eastAsia"/>
        </w:rPr>
        <w:t>户外休息区、儿童娱乐区</w:t>
      </w:r>
      <w:r>
        <w:t>域风速达标分析</w:t>
      </w:r>
    </w:p>
    <w:p w14:paraId="449F46FD">
      <w:pPr>
        <w:pStyle w:val="3"/>
        <w:ind w:firstLine="420"/>
        <w:rPr>
          <w:rFonts w:ascii="微软雅黑" w:hAnsi="微软雅黑" w:eastAsia="微软雅黑"/>
          <w:lang w:val="en-US"/>
        </w:rPr>
      </w:pPr>
      <w:bookmarkStart w:id="89" w:name="冬季工况户外休息区和儿童娱乐区风速达标分析"/>
      <w:r>
        <w:rPr>
          <w:rFonts w:hint="eastAsia" w:ascii="微软雅黑" w:hAnsi="微软雅黑" w:eastAsia="微软雅黑"/>
          <w:lang w:val="en-US"/>
        </w:rPr>
        <w:t>（本项目未划分户外休息区、儿童娱乐区）</w:t>
      </w:r>
    </w:p>
    <w:bookmarkEnd w:id="89"/>
    <w:p w14:paraId="3A814856">
      <w:pPr>
        <w:pStyle w:val="5"/>
      </w:pPr>
      <w:r>
        <w:rPr>
          <w:rFonts w:hint="eastAsia"/>
        </w:rPr>
        <w:t>户外休息区、儿童娱乐区风速放大系数达标</w:t>
      </w:r>
      <w:r>
        <w:t>分析</w:t>
      </w:r>
    </w:p>
    <w:p w14:paraId="5157C18E">
      <w:pPr>
        <w:pStyle w:val="3"/>
        <w:ind w:firstLine="420"/>
        <w:rPr>
          <w:rFonts w:ascii="微软雅黑" w:hAnsi="微软雅黑" w:eastAsia="微软雅黑"/>
          <w:lang w:val="en-US"/>
        </w:rPr>
      </w:pPr>
      <w:bookmarkStart w:id="90" w:name="冬季工况户外休息区和儿童娱乐区风速放大系数达标分析"/>
      <w:r>
        <w:rPr>
          <w:rFonts w:hint="eastAsia" w:ascii="微软雅黑" w:hAnsi="微软雅黑" w:eastAsia="微软雅黑"/>
          <w:lang w:val="en-US"/>
        </w:rPr>
        <w:t>（本项目未划分户外休息区、儿童娱乐区）</w:t>
      </w:r>
    </w:p>
    <w:bookmarkEnd w:id="90"/>
    <w:p w14:paraId="00350D93">
      <w:pPr>
        <w:pStyle w:val="3"/>
        <w:ind w:firstLine="420"/>
        <w:rPr>
          <w:rFonts w:ascii="微软雅黑" w:hAnsi="微软雅黑" w:eastAsia="微软雅黑"/>
          <w:lang w:val="en-US"/>
        </w:rPr>
      </w:pPr>
    </w:p>
    <w:p w14:paraId="4F1CD24C">
      <w:pPr>
        <w:pStyle w:val="37"/>
        <w:spacing w:line="440" w:lineRule="exact"/>
        <w:ind w:firstLine="420"/>
        <w:rPr>
          <w:szCs w:val="21"/>
        </w:rPr>
      </w:pPr>
      <w:r>
        <w:rPr>
          <w:rFonts w:hint="eastAsia"/>
          <w:szCs w:val="21"/>
        </w:rPr>
        <w:t>注：</w:t>
      </w:r>
    </w:p>
    <w:p w14:paraId="4060500A">
      <w:pPr>
        <w:pStyle w:val="37"/>
        <w:spacing w:line="440" w:lineRule="exact"/>
        <w:ind w:firstLine="420"/>
        <w:rPr>
          <w:szCs w:val="21"/>
        </w:rPr>
      </w:pPr>
      <w:r>
        <w:rPr>
          <w:rFonts w:hint="eastAsia"/>
          <w:szCs w:val="21"/>
        </w:rPr>
        <w:t>1）人行道及停车场等短暂停留区域定义为人行区，评价目标为避免人行走艰难；儿童娱乐区、以及庭院、游憩广场、户外休息区为较长时间停留的人活动区域，重点考察区域内的舒适性。</w:t>
      </w:r>
    </w:p>
    <w:p w14:paraId="4F84435F">
      <w:pPr>
        <w:pStyle w:val="37"/>
        <w:spacing w:line="440" w:lineRule="exact"/>
        <w:ind w:firstLine="420"/>
        <w:rPr>
          <w:szCs w:val="21"/>
        </w:rPr>
      </w:pPr>
      <w:r>
        <w:rPr>
          <w:rFonts w:hint="eastAsia"/>
          <w:szCs w:val="21"/>
        </w:rPr>
        <w:t>2）计算域内风速分布云图中图例上限均为计算域内实际风速最大值，图例上限也可按需求在软件中调整。</w:t>
      </w:r>
    </w:p>
    <w:p w14:paraId="74D5C4FA">
      <w:pPr>
        <w:pStyle w:val="37"/>
        <w:spacing w:line="440" w:lineRule="exact"/>
        <w:ind w:firstLine="420"/>
        <w:rPr>
          <w:szCs w:val="21"/>
        </w:rPr>
      </w:pPr>
      <w:r>
        <w:rPr>
          <w:rFonts w:hint="eastAsia"/>
          <w:szCs w:val="21"/>
        </w:rPr>
        <w:t>3）通常将1.5米作为一般人群的参考行走高度，也可酌情调整人行走高度。</w:t>
      </w:r>
    </w:p>
    <w:p w14:paraId="11B71F6F">
      <w:pPr>
        <w:pStyle w:val="3"/>
        <w:ind w:firstLine="420"/>
        <w:rPr>
          <w:rFonts w:ascii="微软雅黑" w:hAnsi="微软雅黑" w:eastAsia="微软雅黑"/>
          <w:lang w:val="en-US"/>
        </w:rPr>
      </w:pPr>
    </w:p>
    <w:p w14:paraId="5DE13F60">
      <w:pPr>
        <w:pStyle w:val="5"/>
      </w:pPr>
      <w:bookmarkStart w:id="91" w:name="_Toc509844753"/>
      <w:r>
        <w:rPr>
          <w:rFonts w:hint="eastAsia"/>
        </w:rPr>
        <w:t>冬季工况风速/风速放大系数达标</w:t>
      </w:r>
      <w:bookmarkEnd w:id="91"/>
      <w:r>
        <w:rPr>
          <w:rFonts w:hint="eastAsia"/>
        </w:rPr>
        <w:t>结果汇总</w:t>
      </w:r>
    </w:p>
    <w:p w14:paraId="22AD79A8">
      <w:pPr>
        <w:pStyle w:val="3"/>
        <w:ind w:firstLine="420"/>
        <w:rPr>
          <w:rFonts w:ascii="微软雅黑" w:hAnsi="微软雅黑" w:eastAsia="微软雅黑"/>
        </w:rPr>
      </w:pPr>
      <w:r>
        <w:rPr>
          <w:rFonts w:hint="eastAsia" w:ascii="微软雅黑" w:hAnsi="微软雅黑" w:eastAsia="微软雅黑"/>
          <w:lang w:val="en-US"/>
        </w:rPr>
        <w:t>综合上述冬季工况风场中风速和风速放大系数的计算分析，将分析结果汇总如下表：</w:t>
      </w:r>
    </w:p>
    <w:p w14:paraId="0A44034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冬季工况风速/风速放大系数达标分析汇总</w:t>
      </w:r>
    </w:p>
    <w:tbl>
      <w:tblPr>
        <w:tblStyle w:val="28"/>
        <w:tblW w:w="8522" w:type="dxa"/>
        <w:jc w:val="center"/>
        <w:tblLayout w:type="autofit"/>
        <w:tblCellMar>
          <w:top w:w="0" w:type="dxa"/>
          <w:left w:w="108" w:type="dxa"/>
          <w:bottom w:w="0" w:type="dxa"/>
          <w:right w:w="108" w:type="dxa"/>
        </w:tblCellMar>
      </w:tblPr>
      <w:tblGrid>
        <w:gridCol w:w="3823"/>
        <w:gridCol w:w="1581"/>
        <w:gridCol w:w="1843"/>
        <w:gridCol w:w="1275"/>
      </w:tblGrid>
      <w:tr w14:paraId="23C78398">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73CEDB40">
            <w:pPr>
              <w:spacing w:line="240" w:lineRule="auto"/>
              <w:ind w:firstLine="22" w:firstLineChars="12"/>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评价内容</w:t>
            </w:r>
          </w:p>
        </w:tc>
        <w:tc>
          <w:tcPr>
            <w:tcW w:w="158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7580F393">
            <w:pPr>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标准要求</w:t>
            </w:r>
            <w:r>
              <w:rPr>
                <w:rFonts w:hint="eastAsia" w:ascii="微软雅黑" w:hAnsi="微软雅黑" w:eastAsia="微软雅黑" w:cs="宋体"/>
                <w:b/>
                <w:sz w:val="18"/>
                <w:szCs w:val="18"/>
              </w:rPr>
              <w:t>限值</w:t>
            </w:r>
          </w:p>
        </w:tc>
        <w:tc>
          <w:tcPr>
            <w:tcW w:w="1843"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05BEC743">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87E781F">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达标判断</w:t>
            </w:r>
          </w:p>
        </w:tc>
      </w:tr>
      <w:tr w14:paraId="623FC99F">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366A881E">
            <w:pPr>
              <w:jc w:val="center"/>
              <w:rPr>
                <w:rFonts w:ascii="微软雅黑" w:hAnsi="微软雅黑" w:eastAsia="微软雅黑" w:cs="宋体"/>
                <w:sz w:val="18"/>
                <w:szCs w:val="18"/>
              </w:rPr>
            </w:pPr>
            <w:r>
              <w:rPr>
                <w:rFonts w:hint="eastAsia" w:ascii="微软雅黑" w:hAnsi="微软雅黑" w:eastAsia="微软雅黑" w:cs="宋体"/>
                <w:sz w:val="18"/>
                <w:szCs w:val="18"/>
              </w:rPr>
              <w:t>人行区域风速</w:t>
            </w:r>
          </w:p>
        </w:tc>
        <w:tc>
          <w:tcPr>
            <w:tcW w:w="1581" w:type="dxa"/>
            <w:tcBorders>
              <w:top w:val="nil"/>
              <w:left w:val="nil"/>
              <w:bottom w:val="single" w:color="auto" w:sz="4" w:space="0"/>
              <w:right w:val="single" w:color="auto" w:sz="4" w:space="0"/>
            </w:tcBorders>
            <w:shd w:val="clear" w:color="auto" w:fill="auto"/>
            <w:noWrap/>
            <w:vAlign w:val="center"/>
          </w:tcPr>
          <w:p w14:paraId="6E434B0E">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38715E1E">
            <w:pPr>
              <w:spacing w:line="240" w:lineRule="auto"/>
              <w:jc w:val="center"/>
              <w:rPr>
                <w:rFonts w:ascii="微软雅黑" w:hAnsi="微软雅黑" w:eastAsia="微软雅黑" w:cs="宋体"/>
                <w:color w:val="000000"/>
                <w:sz w:val="18"/>
                <w:szCs w:val="18"/>
                <w:lang w:val="en-US"/>
              </w:rPr>
            </w:pPr>
            <w:bookmarkStart w:id="92" w:name="冬季工况风速是否有超限区域"/>
            <w:r>
              <w:rPr>
                <w:rFonts w:hint="eastAsia" w:ascii="微软雅黑" w:hAnsi="微软雅黑" w:eastAsia="微软雅黑" w:cs="宋体"/>
                <w:color w:val="000000"/>
                <w:sz w:val="18"/>
                <w:szCs w:val="18"/>
                <w:lang w:val="en-US"/>
              </w:rPr>
              <w:t>否</w:t>
            </w:r>
            <w:bookmarkEnd w:id="92"/>
          </w:p>
        </w:tc>
        <w:tc>
          <w:tcPr>
            <w:tcW w:w="1275" w:type="dxa"/>
            <w:tcBorders>
              <w:top w:val="nil"/>
              <w:left w:val="nil"/>
              <w:bottom w:val="single" w:color="auto" w:sz="4" w:space="0"/>
              <w:right w:val="single" w:color="auto" w:sz="4" w:space="0"/>
            </w:tcBorders>
            <w:shd w:val="clear" w:color="auto" w:fill="auto"/>
            <w:noWrap/>
            <w:vAlign w:val="center"/>
          </w:tcPr>
          <w:p w14:paraId="6FF0B4C8">
            <w:pPr>
              <w:spacing w:line="240" w:lineRule="auto"/>
              <w:jc w:val="center"/>
              <w:rPr>
                <w:rFonts w:ascii="微软雅黑" w:hAnsi="微软雅黑" w:eastAsia="微软雅黑" w:cs="宋体"/>
                <w:color w:val="000000"/>
                <w:sz w:val="18"/>
                <w:szCs w:val="18"/>
                <w:lang w:val="en-US"/>
              </w:rPr>
            </w:pPr>
            <w:bookmarkStart w:id="93" w:name="冬季工况风速达标判断"/>
            <w:r>
              <w:rPr>
                <w:rFonts w:hint="eastAsia" w:ascii="微软雅黑" w:hAnsi="微软雅黑" w:eastAsia="微软雅黑" w:cs="宋体"/>
                <w:color w:val="000000"/>
                <w:sz w:val="18"/>
                <w:szCs w:val="18"/>
                <w:lang w:val="en-US"/>
              </w:rPr>
              <w:t>是</w:t>
            </w:r>
            <w:bookmarkEnd w:id="93"/>
          </w:p>
        </w:tc>
      </w:tr>
      <w:tr w14:paraId="7563E3DA">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9D778">
            <w:pPr>
              <w:jc w:val="center"/>
              <w:rPr>
                <w:rFonts w:ascii="微软雅黑" w:hAnsi="微软雅黑" w:eastAsia="微软雅黑" w:cs="宋体"/>
                <w:sz w:val="18"/>
                <w:szCs w:val="18"/>
              </w:rPr>
            </w:pPr>
            <w:r>
              <w:rPr>
                <w:rFonts w:hint="eastAsia" w:ascii="微软雅黑" w:hAnsi="微软雅黑" w:eastAsia="微软雅黑" w:cs="宋体"/>
                <w:sz w:val="18"/>
                <w:szCs w:val="18"/>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5A42395F">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20883644">
            <w:pPr>
              <w:spacing w:line="240" w:lineRule="auto"/>
              <w:jc w:val="center"/>
              <w:rPr>
                <w:rFonts w:ascii="微软雅黑" w:hAnsi="微软雅黑" w:eastAsia="微软雅黑" w:cs="宋体"/>
                <w:color w:val="000000"/>
                <w:sz w:val="18"/>
                <w:szCs w:val="18"/>
                <w:lang w:val="en-US"/>
              </w:rPr>
            </w:pPr>
            <w:bookmarkStart w:id="94" w:name="冬季工况风速放大系数是否有超限区域"/>
            <w:r>
              <w:rPr>
                <w:rFonts w:hint="eastAsia" w:ascii="微软雅黑" w:hAnsi="微软雅黑" w:eastAsia="微软雅黑" w:cs="宋体"/>
                <w:color w:val="000000"/>
                <w:sz w:val="18"/>
                <w:szCs w:val="18"/>
                <w:lang w:val="en-US"/>
              </w:rPr>
              <w:t>否</w:t>
            </w:r>
            <w:bookmarkEnd w:id="94"/>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770F38CE">
            <w:pPr>
              <w:spacing w:line="240" w:lineRule="auto"/>
              <w:jc w:val="center"/>
              <w:rPr>
                <w:rFonts w:ascii="微软雅黑" w:hAnsi="微软雅黑" w:eastAsia="微软雅黑" w:cs="宋体"/>
                <w:color w:val="000000"/>
                <w:sz w:val="18"/>
                <w:szCs w:val="18"/>
                <w:lang w:val="en-US"/>
              </w:rPr>
            </w:pPr>
            <w:bookmarkStart w:id="95" w:name="冬季工况风速放大系数达标判断"/>
            <w:r>
              <w:rPr>
                <w:rFonts w:hint="eastAsia" w:ascii="微软雅黑" w:hAnsi="微软雅黑" w:eastAsia="微软雅黑" w:cs="宋体"/>
                <w:color w:val="000000"/>
                <w:sz w:val="18"/>
                <w:szCs w:val="18"/>
                <w:lang w:val="en-US"/>
              </w:rPr>
              <w:t>是</w:t>
            </w:r>
            <w:bookmarkEnd w:id="95"/>
          </w:p>
        </w:tc>
      </w:tr>
      <w:tr w14:paraId="0AB4A897">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97E6E">
            <w:pPr>
              <w:jc w:val="center"/>
              <w:rPr>
                <w:rFonts w:ascii="微软雅黑" w:hAnsi="微软雅黑" w:eastAsia="微软雅黑"/>
                <w:sz w:val="18"/>
                <w:szCs w:val="18"/>
              </w:rPr>
            </w:pPr>
            <w:r>
              <w:rPr>
                <w:rFonts w:hint="eastAsia" w:ascii="微软雅黑" w:hAnsi="微软雅黑" w:eastAsia="微软雅黑"/>
                <w:sz w:val="18"/>
                <w:szCs w:val="18"/>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7FED33FA">
            <w:pPr>
              <w:jc w:val="center"/>
              <w:rPr>
                <w:rFonts w:ascii="微软雅黑" w:hAnsi="微软雅黑" w:eastAsia="微软雅黑" w:cs="宋体"/>
                <w:sz w:val="18"/>
                <w:szCs w:val="18"/>
              </w:rPr>
            </w:pPr>
            <w:r>
              <w:rPr>
                <w:rFonts w:hint="eastAsia" w:ascii="微软雅黑" w:hAnsi="微软雅黑" w:eastAsia="微软雅黑" w:cs="宋体"/>
                <w:sz w:val="18"/>
                <w:szCs w:val="18"/>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27B3AAB4">
            <w:pPr>
              <w:spacing w:line="240" w:lineRule="auto"/>
              <w:jc w:val="center"/>
              <w:rPr>
                <w:rFonts w:ascii="微软雅黑" w:hAnsi="微软雅黑" w:eastAsia="微软雅黑" w:cs="宋体"/>
                <w:color w:val="000000"/>
                <w:sz w:val="18"/>
                <w:szCs w:val="18"/>
                <w:lang w:val="en-US"/>
              </w:rPr>
            </w:pPr>
            <w:bookmarkStart w:id="96" w:name="冬季工况休息区风速是否有超限区域"/>
            <w:r>
              <w:rPr>
                <w:rFonts w:hint="eastAsia" w:ascii="微软雅黑" w:hAnsi="微软雅黑" w:eastAsia="微软雅黑" w:cs="宋体"/>
                <w:color w:val="000000"/>
                <w:sz w:val="18"/>
                <w:szCs w:val="18"/>
                <w:lang w:val="en-US"/>
              </w:rPr>
              <w:t>否</w:t>
            </w:r>
            <w:bookmarkEnd w:id="96"/>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6B3BC271">
            <w:pPr>
              <w:spacing w:line="240" w:lineRule="auto"/>
              <w:jc w:val="center"/>
              <w:rPr>
                <w:rFonts w:ascii="微软雅黑" w:hAnsi="微软雅黑" w:eastAsia="微软雅黑" w:cs="宋体"/>
                <w:color w:val="000000"/>
                <w:sz w:val="18"/>
                <w:szCs w:val="18"/>
                <w:lang w:val="en-US"/>
              </w:rPr>
            </w:pPr>
            <w:bookmarkStart w:id="97" w:name="冬季工况休息区风速达标判断"/>
            <w:r>
              <w:rPr>
                <w:rFonts w:hint="eastAsia" w:ascii="微软雅黑" w:hAnsi="微软雅黑" w:eastAsia="微软雅黑" w:cs="宋体"/>
                <w:color w:val="000000"/>
                <w:sz w:val="18"/>
                <w:szCs w:val="18"/>
                <w:lang w:val="en-US"/>
              </w:rPr>
              <w:t>是</w:t>
            </w:r>
            <w:bookmarkEnd w:id="97"/>
          </w:p>
        </w:tc>
      </w:tr>
      <w:tr w14:paraId="7ED9709C">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40A40">
            <w:pPr>
              <w:jc w:val="center"/>
              <w:rPr>
                <w:rFonts w:ascii="微软雅黑" w:hAnsi="微软雅黑" w:eastAsia="微软雅黑" w:cs="宋体"/>
                <w:sz w:val="18"/>
                <w:szCs w:val="18"/>
              </w:rPr>
            </w:pPr>
            <w:r>
              <w:rPr>
                <w:rFonts w:hint="eastAsia" w:ascii="微软雅黑" w:hAnsi="微软雅黑" w:eastAsia="微软雅黑"/>
                <w:sz w:val="18"/>
                <w:szCs w:val="18"/>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58574A09">
            <w:pPr>
              <w:jc w:val="center"/>
              <w:rPr>
                <w:rFonts w:ascii="微软雅黑" w:hAnsi="微软雅黑" w:eastAsia="微软雅黑" w:cs="宋体"/>
                <w:sz w:val="18"/>
                <w:szCs w:val="18"/>
              </w:rPr>
            </w:pPr>
            <w:r>
              <w:rPr>
                <w:rFonts w:hint="eastAsia" w:ascii="微软雅黑" w:hAnsi="微软雅黑" w:eastAsia="微软雅黑" w:cs="宋体"/>
                <w:sz w:val="18"/>
                <w:szCs w:val="18"/>
              </w:rPr>
              <w:t>＜</w:t>
            </w:r>
            <w:bookmarkStart w:id="98" w:name="冬季工况休息区和儿童娱乐区风速放大系数标准要求限值"/>
            <w:r>
              <w:rPr>
                <w:rFonts w:ascii="微软雅黑" w:hAnsi="微软雅黑" w:eastAsia="微软雅黑" w:cs="宋体"/>
                <w:sz w:val="18"/>
                <w:szCs w:val="18"/>
              </w:rPr>
              <w:t>2</w:t>
            </w:r>
            <w:bookmarkEnd w:id="98"/>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16F857C1">
            <w:pPr>
              <w:spacing w:line="240" w:lineRule="auto"/>
              <w:jc w:val="center"/>
              <w:rPr>
                <w:rFonts w:ascii="微软雅黑" w:hAnsi="微软雅黑" w:eastAsia="微软雅黑" w:cs="宋体"/>
                <w:color w:val="000000"/>
                <w:sz w:val="18"/>
                <w:szCs w:val="18"/>
                <w:lang w:val="en-US"/>
              </w:rPr>
            </w:pPr>
            <w:bookmarkStart w:id="99" w:name="冬季工况户外休息区风速放大系数是否有超限区域"/>
            <w:r>
              <w:rPr>
                <w:rFonts w:hint="eastAsia" w:ascii="微软雅黑" w:hAnsi="微软雅黑" w:eastAsia="微软雅黑" w:cs="宋体"/>
                <w:color w:val="000000"/>
                <w:sz w:val="18"/>
                <w:szCs w:val="18"/>
                <w:lang w:val="en-US"/>
              </w:rPr>
              <w:t>否</w:t>
            </w:r>
            <w:bookmarkEnd w:id="99"/>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45AE7DFF">
            <w:pPr>
              <w:spacing w:line="240" w:lineRule="auto"/>
              <w:jc w:val="center"/>
              <w:rPr>
                <w:rFonts w:ascii="微软雅黑" w:hAnsi="微软雅黑" w:eastAsia="微软雅黑" w:cs="宋体"/>
                <w:color w:val="000000"/>
                <w:sz w:val="18"/>
                <w:szCs w:val="18"/>
                <w:lang w:val="en-US"/>
              </w:rPr>
            </w:pPr>
            <w:bookmarkStart w:id="100" w:name="冬季工况户外休息区风速放大系数达标判断"/>
            <w:r>
              <w:rPr>
                <w:rFonts w:hint="eastAsia" w:ascii="微软雅黑" w:hAnsi="微软雅黑" w:eastAsia="微软雅黑" w:cs="宋体"/>
                <w:color w:val="000000"/>
                <w:sz w:val="18"/>
                <w:szCs w:val="18"/>
                <w:lang w:val="en-US"/>
              </w:rPr>
              <w:t>是</w:t>
            </w:r>
            <w:bookmarkEnd w:id="100"/>
          </w:p>
        </w:tc>
      </w:tr>
    </w:tbl>
    <w:p w14:paraId="1F5C2A24">
      <w:pPr>
        <w:rPr>
          <w:rFonts w:ascii="微软雅黑" w:hAnsi="微软雅黑" w:eastAsia="微软雅黑"/>
        </w:rPr>
      </w:pPr>
    </w:p>
    <w:p w14:paraId="0EEBAD64">
      <w:pPr>
        <w:pStyle w:val="5"/>
      </w:pPr>
      <w:r>
        <w:rPr>
          <w:rFonts w:hint="eastAsia"/>
        </w:rPr>
        <w:t>建筑迎风面和背风面风压分析</w:t>
      </w:r>
    </w:p>
    <w:p w14:paraId="3181A66D">
      <w:pPr>
        <w:pStyle w:val="3"/>
        <w:ind w:firstLine="420"/>
        <w:rPr>
          <w:rFonts w:ascii="微软雅黑" w:hAnsi="微软雅黑" w:eastAsia="微软雅黑"/>
          <w:lang w:val="en-US"/>
        </w:rPr>
      </w:pPr>
      <w:r>
        <w:rPr>
          <w:rFonts w:hint="eastAsia" w:ascii="微软雅黑" w:hAnsi="微软雅黑" w:eastAsia="微软雅黑"/>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179F9F57">
      <w:pPr>
        <w:pStyle w:val="6"/>
        <w:rPr>
          <w:lang w:val="en-US"/>
        </w:rPr>
      </w:pPr>
      <w:r>
        <w:rPr>
          <w:rFonts w:hint="eastAsia"/>
          <w:lang w:val="en-US"/>
        </w:rPr>
        <w:t>建筑迎风面和背风面风压差计算方法</w:t>
      </w:r>
    </w:p>
    <w:p w14:paraId="4F2C2333">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本项目采用面积加权法对建筑迎风面和背风面对应门窗的风压值进行计算，最后获得迎背风面门窗的风压差值，以下图为例说明具体计算过程。</w:t>
      </w:r>
    </w:p>
    <w:p w14:paraId="2F517BE0">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3657600" cy="2924175"/>
            <wp:effectExtent l="0" t="0" r="0" b="9525"/>
            <wp:docPr id="9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2"/>
                    <pic:cNvPicPr>
                      <a:picLocks noChangeAspect="1" noChangeArrowheads="1"/>
                    </pic:cNvPicPr>
                  </pic:nvPicPr>
                  <pic:blipFill>
                    <a:blip r:embed="rId35">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77E30BE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 建筑平面图</w:t>
      </w:r>
    </w:p>
    <w:p w14:paraId="71CD0663">
      <w:pPr>
        <w:pStyle w:val="3"/>
        <w:ind w:firstLine="420"/>
        <w:rPr>
          <w:rFonts w:ascii="微软雅黑" w:hAnsi="微软雅黑" w:eastAsia="微软雅黑"/>
          <w:lang w:val="en-US"/>
        </w:rPr>
      </w:pPr>
      <w:r>
        <w:rPr>
          <w:rFonts w:hint="eastAsia" w:ascii="微软雅黑" w:hAnsi="微软雅黑" w:eastAsia="微软雅黑"/>
          <w:lang w:val="en-US"/>
        </w:rPr>
        <w:t>上图中，迎风面窗户C1，C2，C3的平均风压值，通过每个窗户的平均风压和其窗户面积进行加权平均计算， 如下式：</w:t>
      </w:r>
    </w:p>
    <w:tbl>
      <w:tblPr>
        <w:tblStyle w:val="28"/>
        <w:tblW w:w="8359" w:type="dxa"/>
        <w:tblInd w:w="0" w:type="dxa"/>
        <w:tblLayout w:type="autofit"/>
        <w:tblCellMar>
          <w:top w:w="0" w:type="dxa"/>
          <w:left w:w="108" w:type="dxa"/>
          <w:bottom w:w="0" w:type="dxa"/>
          <w:right w:w="108" w:type="dxa"/>
        </w:tblCellMar>
      </w:tblPr>
      <w:tblGrid>
        <w:gridCol w:w="6658"/>
        <w:gridCol w:w="1701"/>
      </w:tblGrid>
      <w:tr w14:paraId="4B2D7026">
        <w:tblPrEx>
          <w:tblCellMar>
            <w:top w:w="0" w:type="dxa"/>
            <w:left w:w="108" w:type="dxa"/>
            <w:bottom w:w="0" w:type="dxa"/>
            <w:right w:w="108" w:type="dxa"/>
          </w:tblCellMar>
        </w:tblPrEx>
        <w:tc>
          <w:tcPr>
            <w:tcW w:w="6658" w:type="dxa"/>
            <w:shd w:val="clear" w:color="auto" w:fill="auto"/>
          </w:tcPr>
          <w:p w14:paraId="2ED7CDAB">
            <w:pPr>
              <w:pStyle w:val="3"/>
              <w:ind w:firstLine="0" w:firstLineChars="0"/>
              <w:jc w:val="center"/>
              <w:rPr>
                <w:rFonts w:ascii="微软雅黑" w:hAnsi="微软雅黑" w:eastAsia="微软雅黑"/>
                <w:lang w:val="en-US"/>
              </w:rPr>
            </w:pPr>
            <m:oMathPara>
              <m:oMathParaPr>
                <m:jc m:val="center"/>
              </m:oMathParaPr>
              <m:oMath>
                <m:sSub>
                  <m:sSubPr>
                    <m:ctrlPr>
                      <w:rPr>
                        <w:rFonts w:ascii="Cambria Math" w:hAnsi="Cambria Math" w:eastAsia="微软雅黑"/>
                        <w:lang w:val="en-US"/>
                      </w:rPr>
                    </m:ctrlPr>
                  </m:sSubPr>
                  <m:e>
                    <m:r>
                      <m:rPr/>
                      <w:rPr>
                        <w:rFonts w:ascii="Cambria Math" w:hAnsi="Cambria Math" w:eastAsia="微软雅黑"/>
                        <w:lang w:val="en-US"/>
                      </w:rPr>
                      <m:t>P</m:t>
                    </m:r>
                    <m:ctrlPr>
                      <w:rPr>
                        <w:rFonts w:ascii="Cambria Math" w:hAnsi="Cambria Math" w:eastAsia="微软雅黑"/>
                        <w:lang w:val="en-US"/>
                      </w:rPr>
                    </m:ctrlPr>
                  </m:e>
                  <m:sub>
                    <m:r>
                      <m:rPr>
                        <m:sty m:val="p"/>
                      </m:rPr>
                      <w:rPr>
                        <w:rFonts w:ascii="Cambria Math" w:hAnsi="Cambria Math" w:eastAsia="微软雅黑"/>
                        <w:lang w:val="en-US"/>
                      </w:rPr>
                      <m:t>Up</m:t>
                    </m:r>
                    <m:ctrlPr>
                      <w:rPr>
                        <w:rFonts w:ascii="Cambria Math" w:hAnsi="Cambria Math" w:eastAsia="微软雅黑"/>
                        <w:lang w:val="en-US"/>
                      </w:rPr>
                    </m:ctrlPr>
                  </m:sub>
                </m:sSub>
                <m:r>
                  <m:rPr/>
                  <w:rPr>
                    <w:rFonts w:ascii="Cambria Math" w:hAnsi="Cambria Math" w:eastAsia="微软雅黑"/>
                    <w:lang w:val="en-US"/>
                  </w:rPr>
                  <m:t>=</m:t>
                </m:r>
                <m:f>
                  <m:fPr>
                    <m:ctrlPr>
                      <w:rPr>
                        <w:rFonts w:ascii="Cambria Math" w:hAnsi="Cambria Math" w:eastAsia="微软雅黑"/>
                        <w:lang w:val="en-US"/>
                      </w:rPr>
                    </m:ctrlPr>
                  </m:fPr>
                  <m:num>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 xml:space="preserve">3 </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num>
                  <m:den>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den>
                </m:f>
              </m:oMath>
            </m:oMathPara>
          </w:p>
        </w:tc>
        <w:tc>
          <w:tcPr>
            <w:tcW w:w="1701" w:type="dxa"/>
            <w:shd w:val="clear" w:color="auto" w:fill="auto"/>
            <w:vAlign w:val="center"/>
          </w:tcPr>
          <w:p w14:paraId="1C970131">
            <w:pPr>
              <w:pStyle w:val="3"/>
              <w:ind w:firstLine="0" w:firstLineChars="0"/>
              <w:jc w:val="right"/>
              <w:rPr>
                <w:rFonts w:ascii="微软雅黑" w:hAnsi="微软雅黑" w:eastAsia="微软雅黑"/>
                <w:lang w:val="en-US"/>
              </w:rPr>
            </w:pPr>
            <w:r>
              <w:rPr>
                <w:rFonts w:hint="eastAsia"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5.2</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tc>
      </w:tr>
    </w:tbl>
    <w:p w14:paraId="00287D90">
      <w:pPr>
        <w:pStyle w:val="3"/>
        <w:ind w:firstLine="420"/>
        <w:rPr>
          <w:rFonts w:ascii="微软雅黑" w:hAnsi="微软雅黑" w:eastAsia="微软雅黑"/>
          <w:sz w:val="24"/>
          <w:lang w:val="en-US"/>
        </w:rPr>
      </w:pPr>
      <w:r>
        <w:rPr>
          <w:rFonts w:hint="eastAsia" w:ascii="微软雅黑" w:hAnsi="微软雅黑" w:eastAsia="微软雅黑"/>
          <w:lang w:val="en-US"/>
        </w:rPr>
        <w:t>式中：</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分别为窗户C1，C2，C3的平均风压值，而</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为各个窗户的面积</w:t>
      </w:r>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up</m:t>
            </m:r>
            <m:ctrlPr>
              <w:rPr>
                <w:rFonts w:ascii="Cambria Math" w:hAnsi="Cambria Math" w:eastAsia="微软雅黑"/>
                <w:i/>
                <w:sz w:val="24"/>
                <w:lang w:val="en-US"/>
              </w:rPr>
            </m:ctrlPr>
          </m:sub>
        </m:sSub>
      </m:oMath>
      <w:r>
        <w:rPr>
          <w:rFonts w:hint="eastAsia" w:ascii="微软雅黑" w:hAnsi="微软雅黑" w:eastAsia="微软雅黑"/>
          <w:lang w:val="en-US"/>
        </w:rPr>
        <w:t>为迎风面窗户平均风压。</w:t>
      </w:r>
    </w:p>
    <w:p w14:paraId="2A65E119">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677A3A9F">
      <w:pPr>
        <w:pStyle w:val="6"/>
      </w:pPr>
      <w:r>
        <w:rPr>
          <w:rFonts w:hint="eastAsia"/>
        </w:rPr>
        <w:t>建筑迎风面和背风面风压云图</w:t>
      </w:r>
    </w:p>
    <w:p w14:paraId="5DD8CE71">
      <w:pPr>
        <w:jc w:val="center"/>
        <w:rPr>
          <w:rFonts w:ascii="微软雅黑" w:hAnsi="微软雅黑" w:eastAsia="微软雅黑"/>
          <w:lang w:val="en-US"/>
        </w:rPr>
      </w:pPr>
      <w:bookmarkStart w:id="101" w:name="冬季工况建筑迎风面风压云图"/>
      <w:bookmarkEnd w:id="101"/>
      <w:r>
        <w:drawing>
          <wp:inline distT="0" distB="0" distL="0" distR="0">
            <wp:extent cx="5667375" cy="32861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36"/>
                    <a:stretch>
                      <a:fillRect/>
                    </a:stretch>
                  </pic:blipFill>
                  <pic:spPr>
                    <a:xfrm>
                      <a:off x="0" y="0"/>
                      <a:ext cx="5667375" cy="3286125"/>
                    </a:xfrm>
                    <a:prstGeom prst="rect">
                      <a:avLst/>
                    </a:prstGeom>
                  </pic:spPr>
                </pic:pic>
              </a:graphicData>
            </a:graphic>
          </wp:inline>
        </w:drawing>
      </w:r>
    </w:p>
    <w:p w14:paraId="29558610">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建筑迎风面风压云图</w:t>
      </w:r>
    </w:p>
    <w:p w14:paraId="448E9871">
      <w:pPr>
        <w:jc w:val="center"/>
        <w:rPr>
          <w:rFonts w:ascii="微软雅黑" w:hAnsi="微软雅黑" w:eastAsia="微软雅黑"/>
        </w:rPr>
      </w:pPr>
      <w:bookmarkStart w:id="102" w:name="冬季工况建筑背风面风压云图"/>
      <w:bookmarkEnd w:id="102"/>
      <w:r>
        <w:drawing>
          <wp:inline distT="0" distB="0" distL="0" distR="0">
            <wp:extent cx="5667375" cy="32956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37"/>
                    <a:stretch>
                      <a:fillRect/>
                    </a:stretch>
                  </pic:blipFill>
                  <pic:spPr>
                    <a:xfrm>
                      <a:off x="0" y="0"/>
                      <a:ext cx="5667375" cy="3295650"/>
                    </a:xfrm>
                    <a:prstGeom prst="rect">
                      <a:avLst/>
                    </a:prstGeom>
                  </pic:spPr>
                </pic:pic>
              </a:graphicData>
            </a:graphic>
          </wp:inline>
        </w:drawing>
      </w:r>
    </w:p>
    <w:p w14:paraId="1760FE9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建筑背风面风压云图</w:t>
      </w:r>
    </w:p>
    <w:p w14:paraId="5293B789">
      <w:pPr>
        <w:pStyle w:val="6"/>
      </w:pPr>
      <w:bookmarkStart w:id="103" w:name="建筑迎风面和背风面风压差计算结果"/>
      <w:r>
        <w:rPr>
          <w:rFonts w:hint="eastAsia"/>
        </w:rPr>
        <w:t>建筑迎风面和背风面风压差计算结果</w:t>
      </w:r>
    </w:p>
    <w:p w14:paraId="42C90F55">
      <w:pPr>
        <w:jc w:val="center"/>
        <w:rPr>
          <w:sz w:val="18"/>
          <w:szCs w:val="18"/>
        </w:rPr>
      </w:pPr>
      <w:bookmarkStart w:id="104" w:name="建筑迎背风面风压差表"/>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5.2</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2</w:t>
      </w:r>
      <w:r>
        <w:rPr>
          <w:sz w:val="18"/>
          <w:szCs w:val="18"/>
        </w:rPr>
        <w:fldChar w:fldCharType="end"/>
      </w:r>
      <w:r>
        <w:rPr>
          <w:sz w:val="18"/>
          <w:szCs w:val="18"/>
        </w:rPr>
        <w:t xml:space="preserve">  </w:t>
      </w:r>
      <w:r>
        <w:rPr>
          <w:rFonts w:hint="eastAsia"/>
          <w:sz w:val="18"/>
          <w:szCs w:val="18"/>
        </w:rPr>
        <w:t>建筑</w:t>
      </w:r>
      <w:r>
        <w:rPr>
          <w:sz w:val="18"/>
          <w:szCs w:val="18"/>
        </w:rPr>
        <w:t>-</w:t>
      </w:r>
      <w:bookmarkStart w:id="105" w:name="建筑迎背风面风压差表_建筑名"/>
      <w:r>
        <w:rPr>
          <w:sz w:val="18"/>
          <w:szCs w:val="18"/>
        </w:rPr>
        <w:t>单体</w:t>
      </w:r>
      <w:bookmarkEnd w:id="105"/>
      <w:r>
        <w:rPr>
          <w:rFonts w:hint="eastAsia"/>
          <w:sz w:val="18"/>
          <w:szCs w:val="18"/>
        </w:rPr>
        <w:t>迎背风面窗平均风压差表</w:t>
      </w:r>
    </w:p>
    <w:tbl>
      <w:tblPr>
        <w:tblStyle w:val="28"/>
        <w:tblW w:w="82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9"/>
        <w:gridCol w:w="2410"/>
        <w:gridCol w:w="2278"/>
        <w:gridCol w:w="2420"/>
      </w:tblGrid>
      <w:tr w14:paraId="41882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shd w:val="clear" w:color="auto" w:fill="E6E6E6"/>
            <w:vAlign w:val="center"/>
          </w:tcPr>
          <w:p w14:paraId="5A3E44C0">
            <w:pPr>
              <w:jc w:val="center"/>
              <w:rPr>
                <w:b/>
                <w:sz w:val="18"/>
                <w:szCs w:val="18"/>
                <w:lang w:val="en-US"/>
              </w:rPr>
            </w:pPr>
            <w:r>
              <w:rPr>
                <w:rFonts w:hint="eastAsia"/>
                <w:b/>
                <w:sz w:val="18"/>
                <w:szCs w:val="18"/>
                <w:lang w:val="en-US"/>
              </w:rPr>
              <w:t>区域</w:t>
            </w:r>
          </w:p>
        </w:tc>
        <w:tc>
          <w:tcPr>
            <w:tcW w:w="2410" w:type="dxa"/>
            <w:shd w:val="clear" w:color="auto" w:fill="E6E6E6"/>
            <w:vAlign w:val="center"/>
          </w:tcPr>
          <w:p w14:paraId="1E928947">
            <w:pPr>
              <w:jc w:val="center"/>
              <w:rPr>
                <w:b/>
                <w:sz w:val="18"/>
                <w:szCs w:val="18"/>
                <w:lang w:val="en-US"/>
              </w:rPr>
            </w:pPr>
            <w:r>
              <w:rPr>
                <w:rFonts w:hint="eastAsia"/>
                <w:b/>
                <w:sz w:val="18"/>
                <w:szCs w:val="18"/>
                <w:lang w:val="en-US"/>
              </w:rPr>
              <w:t>迎风面窗平均风压</w:t>
            </w:r>
            <w:r>
              <w:rPr>
                <w:b/>
                <w:sz w:val="18"/>
                <w:szCs w:val="18"/>
                <w:lang w:val="en-US"/>
              </w:rPr>
              <w:t>(Pa)</w:t>
            </w:r>
          </w:p>
        </w:tc>
        <w:tc>
          <w:tcPr>
            <w:tcW w:w="2278" w:type="dxa"/>
            <w:shd w:val="clear" w:color="auto" w:fill="E6E6E6"/>
            <w:vAlign w:val="center"/>
          </w:tcPr>
          <w:p w14:paraId="67A6509E">
            <w:pPr>
              <w:jc w:val="center"/>
              <w:rPr>
                <w:b/>
                <w:sz w:val="18"/>
                <w:szCs w:val="18"/>
                <w:lang w:val="en-US"/>
              </w:rPr>
            </w:pPr>
            <w:r>
              <w:rPr>
                <w:rFonts w:hint="eastAsia"/>
                <w:b/>
                <w:sz w:val="18"/>
                <w:szCs w:val="18"/>
                <w:lang w:val="en-US"/>
              </w:rPr>
              <w:t>背风面窗平均风压</w:t>
            </w:r>
            <w:r>
              <w:rPr>
                <w:b/>
                <w:sz w:val="18"/>
                <w:szCs w:val="18"/>
                <w:lang w:val="en-US"/>
              </w:rPr>
              <w:t>(Pa)</w:t>
            </w:r>
          </w:p>
        </w:tc>
        <w:tc>
          <w:tcPr>
            <w:tcW w:w="2420" w:type="dxa"/>
            <w:shd w:val="clear" w:color="auto" w:fill="E6E6E6"/>
            <w:vAlign w:val="center"/>
          </w:tcPr>
          <w:p w14:paraId="031EBE5F">
            <w:pPr>
              <w:jc w:val="center"/>
              <w:rPr>
                <w:b/>
                <w:sz w:val="18"/>
                <w:szCs w:val="18"/>
                <w:lang w:val="en-US"/>
              </w:rPr>
            </w:pPr>
            <w:r>
              <w:rPr>
                <w:rFonts w:hint="eastAsia"/>
                <w:b/>
                <w:sz w:val="18"/>
                <w:szCs w:val="18"/>
                <w:lang w:val="en-US"/>
              </w:rPr>
              <w:t>迎背风面窗平均风压差</w:t>
            </w:r>
            <w:r>
              <w:rPr>
                <w:b/>
                <w:sz w:val="18"/>
                <w:szCs w:val="18"/>
                <w:lang w:val="en-US"/>
              </w:rPr>
              <w:t>(Pa)</w:t>
            </w:r>
          </w:p>
        </w:tc>
      </w:tr>
      <w:tr w14:paraId="617C7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3BFA51D3">
            <w:pPr>
              <w:jc w:val="center"/>
              <w:rPr>
                <w:sz w:val="18"/>
                <w:szCs w:val="18"/>
                <w:lang w:val="en-US"/>
              </w:rPr>
            </w:pPr>
            <w:r>
              <w:rPr>
                <w:rFonts w:hint="eastAsia"/>
                <w:sz w:val="18"/>
                <w:szCs w:val="18"/>
                <w:lang w:val="en-US"/>
              </w:rPr>
              <w:t>1层</w:t>
            </w:r>
          </w:p>
        </w:tc>
        <w:tc>
          <w:tcPr>
            <w:tcW w:w="2410" w:type="dxa"/>
            <w:vAlign w:val="center"/>
          </w:tcPr>
          <w:p w14:paraId="3FEDABE6">
            <w:pPr>
              <w:jc w:val="center"/>
              <w:rPr>
                <w:sz w:val="18"/>
                <w:szCs w:val="18"/>
                <w:lang w:val="en-US"/>
              </w:rPr>
            </w:pPr>
            <w:r>
              <w:rPr>
                <w:sz w:val="18"/>
                <w:szCs w:val="18"/>
                <w:lang w:val="en-US"/>
              </w:rPr>
              <w:t>2.72</w:t>
            </w:r>
          </w:p>
        </w:tc>
        <w:tc>
          <w:tcPr>
            <w:tcW w:w="2278" w:type="dxa"/>
            <w:vAlign w:val="center"/>
          </w:tcPr>
          <w:p w14:paraId="093F97B7">
            <w:pPr>
              <w:jc w:val="center"/>
              <w:rPr>
                <w:sz w:val="18"/>
                <w:szCs w:val="18"/>
                <w:lang w:val="en-US"/>
              </w:rPr>
            </w:pPr>
            <w:r>
              <w:rPr>
                <w:sz w:val="18"/>
                <w:szCs w:val="18"/>
                <w:lang w:val="en-US"/>
              </w:rPr>
              <w:t>-11.17</w:t>
            </w:r>
          </w:p>
        </w:tc>
        <w:tc>
          <w:tcPr>
            <w:tcW w:w="2420" w:type="dxa"/>
            <w:vAlign w:val="center"/>
          </w:tcPr>
          <w:p w14:paraId="7081CC42">
            <w:pPr>
              <w:jc w:val="center"/>
              <w:rPr>
                <w:sz w:val="18"/>
                <w:szCs w:val="18"/>
                <w:lang w:val="en-US"/>
              </w:rPr>
            </w:pPr>
            <w:r>
              <w:rPr>
                <w:sz w:val="18"/>
                <w:szCs w:val="18"/>
                <w:lang w:val="en-US"/>
              </w:rPr>
              <w:t>13.89</w:t>
            </w:r>
          </w:p>
        </w:tc>
      </w:tr>
      <w:tr w14:paraId="581D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60DF9D3C">
            <w:pPr>
              <w:jc w:val="center"/>
              <w:rPr>
                <w:sz w:val="18"/>
                <w:szCs w:val="18"/>
                <w:lang w:val="en-US"/>
              </w:rPr>
            </w:pPr>
            <w:r>
              <w:rPr>
                <w:sz w:val="18"/>
                <w:szCs w:val="18"/>
                <w:lang w:val="en-US"/>
              </w:rPr>
              <w:t>2层</w:t>
            </w:r>
          </w:p>
        </w:tc>
        <w:tc>
          <w:tcPr>
            <w:tcW w:w="2410" w:type="dxa"/>
            <w:vAlign w:val="center"/>
          </w:tcPr>
          <w:p w14:paraId="6B8EF5EF">
            <w:pPr>
              <w:jc w:val="center"/>
              <w:rPr>
                <w:sz w:val="18"/>
                <w:szCs w:val="18"/>
                <w:lang w:val="en-US"/>
              </w:rPr>
            </w:pPr>
            <w:r>
              <w:rPr>
                <w:sz w:val="18"/>
                <w:szCs w:val="18"/>
                <w:lang w:val="en-US"/>
              </w:rPr>
              <w:t>10.14</w:t>
            </w:r>
          </w:p>
        </w:tc>
        <w:tc>
          <w:tcPr>
            <w:tcW w:w="2278" w:type="dxa"/>
            <w:vAlign w:val="center"/>
          </w:tcPr>
          <w:p w14:paraId="19950DDA">
            <w:pPr>
              <w:jc w:val="center"/>
              <w:rPr>
                <w:sz w:val="18"/>
                <w:szCs w:val="18"/>
                <w:lang w:val="en-US"/>
              </w:rPr>
            </w:pPr>
            <w:r>
              <w:rPr>
                <w:sz w:val="18"/>
                <w:szCs w:val="18"/>
                <w:lang w:val="en-US"/>
              </w:rPr>
              <w:t>-18.71</w:t>
            </w:r>
          </w:p>
        </w:tc>
        <w:tc>
          <w:tcPr>
            <w:tcW w:w="2420" w:type="dxa"/>
            <w:vAlign w:val="center"/>
          </w:tcPr>
          <w:p w14:paraId="6D2CE673">
            <w:pPr>
              <w:jc w:val="center"/>
              <w:rPr>
                <w:sz w:val="18"/>
                <w:szCs w:val="18"/>
                <w:lang w:val="en-US"/>
              </w:rPr>
            </w:pPr>
            <w:r>
              <w:rPr>
                <w:sz w:val="18"/>
                <w:szCs w:val="18"/>
                <w:lang w:val="en-US"/>
              </w:rPr>
              <w:t>28.85</w:t>
            </w:r>
          </w:p>
        </w:tc>
      </w:tr>
      <w:tr w14:paraId="27F04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74A0B73A">
            <w:pPr>
              <w:jc w:val="center"/>
              <w:rPr>
                <w:sz w:val="18"/>
                <w:szCs w:val="18"/>
                <w:lang w:val="en-US"/>
              </w:rPr>
            </w:pPr>
            <w:r>
              <w:rPr>
                <w:rFonts w:hint="eastAsia"/>
                <w:sz w:val="18"/>
                <w:szCs w:val="18"/>
                <w:lang w:val="en-US"/>
              </w:rPr>
              <w:t>3层</w:t>
            </w:r>
          </w:p>
        </w:tc>
        <w:tc>
          <w:tcPr>
            <w:tcW w:w="2410" w:type="dxa"/>
            <w:vAlign w:val="center"/>
          </w:tcPr>
          <w:p w14:paraId="3C183CD0">
            <w:pPr>
              <w:jc w:val="center"/>
              <w:rPr>
                <w:sz w:val="18"/>
                <w:szCs w:val="18"/>
                <w:lang w:val="en-US"/>
              </w:rPr>
            </w:pPr>
            <w:r>
              <w:rPr>
                <w:sz w:val="18"/>
                <w:szCs w:val="18"/>
                <w:lang w:val="en-US"/>
              </w:rPr>
              <w:t>10.37</w:t>
            </w:r>
          </w:p>
        </w:tc>
        <w:tc>
          <w:tcPr>
            <w:tcW w:w="2278" w:type="dxa"/>
            <w:vAlign w:val="center"/>
          </w:tcPr>
          <w:p w14:paraId="2210098B">
            <w:pPr>
              <w:jc w:val="center"/>
              <w:rPr>
                <w:sz w:val="18"/>
                <w:szCs w:val="18"/>
                <w:lang w:val="en-US"/>
              </w:rPr>
            </w:pPr>
            <w:r>
              <w:rPr>
                <w:sz w:val="18"/>
                <w:szCs w:val="18"/>
                <w:lang w:val="en-US"/>
              </w:rPr>
              <w:t>-17.44</w:t>
            </w:r>
          </w:p>
        </w:tc>
        <w:tc>
          <w:tcPr>
            <w:tcW w:w="2420" w:type="dxa"/>
            <w:vAlign w:val="center"/>
          </w:tcPr>
          <w:p w14:paraId="1EF3CA14">
            <w:pPr>
              <w:jc w:val="center"/>
              <w:rPr>
                <w:sz w:val="18"/>
                <w:szCs w:val="18"/>
                <w:lang w:val="en-US"/>
              </w:rPr>
            </w:pPr>
            <w:r>
              <w:rPr>
                <w:sz w:val="18"/>
                <w:szCs w:val="18"/>
                <w:lang w:val="en-US"/>
              </w:rPr>
              <w:t>27.81</w:t>
            </w:r>
          </w:p>
        </w:tc>
      </w:tr>
      <w:tr w14:paraId="68E70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6CFE7C97">
            <w:pPr>
              <w:jc w:val="center"/>
              <w:rPr>
                <w:sz w:val="18"/>
                <w:szCs w:val="18"/>
                <w:lang w:val="en-US"/>
              </w:rPr>
            </w:pPr>
            <w:r>
              <w:rPr>
                <w:rFonts w:hint="eastAsia"/>
                <w:sz w:val="18"/>
                <w:szCs w:val="18"/>
                <w:lang w:val="en-US"/>
              </w:rPr>
              <w:t>整楼</w:t>
            </w:r>
          </w:p>
        </w:tc>
        <w:tc>
          <w:tcPr>
            <w:tcW w:w="2410" w:type="dxa"/>
            <w:vAlign w:val="center"/>
          </w:tcPr>
          <w:p w14:paraId="53FFFBBC">
            <w:pPr>
              <w:jc w:val="center"/>
              <w:rPr>
                <w:sz w:val="18"/>
                <w:szCs w:val="18"/>
                <w:lang w:val="en-US"/>
              </w:rPr>
            </w:pPr>
            <w:r>
              <w:rPr>
                <w:sz w:val="18"/>
                <w:szCs w:val="18"/>
                <w:lang w:val="en-US"/>
              </w:rPr>
              <w:t>9.14</w:t>
            </w:r>
          </w:p>
        </w:tc>
        <w:tc>
          <w:tcPr>
            <w:tcW w:w="2278" w:type="dxa"/>
            <w:vAlign w:val="center"/>
          </w:tcPr>
          <w:p w14:paraId="556F9AF0">
            <w:pPr>
              <w:jc w:val="center"/>
              <w:rPr>
                <w:sz w:val="18"/>
                <w:szCs w:val="18"/>
                <w:lang w:val="en-US"/>
              </w:rPr>
            </w:pPr>
            <w:r>
              <w:rPr>
                <w:sz w:val="18"/>
                <w:szCs w:val="18"/>
                <w:lang w:val="en-US"/>
              </w:rPr>
              <w:t>-13.50</w:t>
            </w:r>
          </w:p>
        </w:tc>
        <w:tc>
          <w:tcPr>
            <w:tcW w:w="2420" w:type="dxa"/>
            <w:vAlign w:val="center"/>
          </w:tcPr>
          <w:p w14:paraId="269409FF">
            <w:pPr>
              <w:jc w:val="center"/>
              <w:rPr>
                <w:sz w:val="18"/>
                <w:szCs w:val="18"/>
                <w:lang w:val="en-US"/>
              </w:rPr>
            </w:pPr>
            <w:r>
              <w:rPr>
                <w:sz w:val="18"/>
                <w:szCs w:val="18"/>
                <w:lang w:val="en-US"/>
              </w:rPr>
              <w:t>22.64</w:t>
            </w:r>
          </w:p>
        </w:tc>
      </w:tr>
      <w:bookmarkEnd w:id="104"/>
    </w:tbl>
    <w:p w14:paraId="7DC7D110">
      <w:bookmarkStart w:id="106" w:name="结论"/>
      <w:bookmarkEnd w:id="106"/>
      <w:r>
        <w:t>标准要求：迎背风面窗平均风压差（绝对值）≤5Pa。结论：该楼</w:t>
      </w:r>
      <w:r>
        <w:rPr>
          <w:b/>
          <w:color w:val="FF0000"/>
        </w:rPr>
        <w:t>未达标</w:t>
      </w:r>
      <w:r>
        <w:t>。</w:t>
      </w:r>
    </w:p>
    <w:bookmarkEnd w:id="103"/>
    <w:p w14:paraId="05CEFD4F">
      <w:pPr>
        <w:jc w:val="center"/>
        <w:rPr>
          <w:rFonts w:ascii="微软雅黑" w:hAnsi="微软雅黑" w:eastAsia="微软雅黑"/>
          <w:sz w:val="20"/>
        </w:rPr>
      </w:pPr>
      <w:bookmarkStart w:id="107" w:name="建筑迎背风面风压差表_新增"/>
      <w:bookmarkEnd w:id="107"/>
    </w:p>
    <w:p w14:paraId="13A55D74">
      <w:pPr>
        <w:pStyle w:val="6"/>
      </w:pPr>
      <w:r>
        <w:rPr>
          <w:rFonts w:hint="eastAsia"/>
        </w:rPr>
        <w:t>建筑迎风和背风面风压差结论汇总</w:t>
      </w:r>
    </w:p>
    <w:p w14:paraId="461FF814">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建筑迎风和背风面风压差结论汇总表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8"/>
        <w:gridCol w:w="1697"/>
        <w:gridCol w:w="1697"/>
        <w:gridCol w:w="2401"/>
        <w:gridCol w:w="1151"/>
      </w:tblGrid>
      <w:tr w14:paraId="34834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E6E6E6"/>
            <w:vAlign w:val="center"/>
          </w:tcPr>
          <w:p w14:paraId="4352BD61">
            <w:pPr>
              <w:jc w:val="center"/>
              <w:rPr>
                <w:rFonts w:ascii="微软雅黑" w:hAnsi="微软雅黑" w:eastAsia="微软雅黑"/>
                <w:sz w:val="18"/>
                <w:szCs w:val="18"/>
                <w:lang w:val="en-US"/>
              </w:rPr>
            </w:pPr>
            <w:bookmarkStart w:id="108" w:name="建筑迎风和背风面风压差结论汇总表"/>
            <w:r>
              <w:rPr>
                <w:rFonts w:hint="eastAsia" w:ascii="微软雅黑" w:hAnsi="微软雅黑" w:eastAsia="微软雅黑"/>
                <w:sz w:val="18"/>
                <w:szCs w:val="18"/>
                <w:lang w:val="en-US"/>
              </w:rPr>
              <w:t>建筑编号</w:t>
            </w:r>
          </w:p>
        </w:tc>
        <w:tc>
          <w:tcPr>
            <w:tcW w:w="1697" w:type="dxa"/>
            <w:shd w:val="clear" w:color="auto" w:fill="E6E6E6"/>
            <w:vAlign w:val="center"/>
          </w:tcPr>
          <w:p w14:paraId="7939A63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迎风面平均风压(Pa)</w:t>
            </w:r>
          </w:p>
        </w:tc>
        <w:tc>
          <w:tcPr>
            <w:tcW w:w="1697" w:type="dxa"/>
            <w:shd w:val="clear" w:color="auto" w:fill="E6E6E6"/>
            <w:vAlign w:val="center"/>
          </w:tcPr>
          <w:p w14:paraId="5D0E821F">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背风面平均风压(Pa)</w:t>
            </w:r>
          </w:p>
        </w:tc>
        <w:tc>
          <w:tcPr>
            <w:tcW w:w="2401" w:type="dxa"/>
            <w:shd w:val="clear" w:color="auto" w:fill="E6E6E6"/>
            <w:vAlign w:val="center"/>
          </w:tcPr>
          <w:p w14:paraId="6EB6D6D1">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建筑迎风和背风面风压差(Pa)</w:t>
            </w:r>
          </w:p>
        </w:tc>
        <w:tc>
          <w:tcPr>
            <w:tcW w:w="1151" w:type="dxa"/>
            <w:shd w:val="clear" w:color="auto" w:fill="E6E6E6"/>
            <w:vAlign w:val="center"/>
          </w:tcPr>
          <w:p w14:paraId="0858B11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是否达标</w:t>
            </w:r>
          </w:p>
        </w:tc>
      </w:tr>
      <w:tr w14:paraId="40771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04D58E96">
            <w:pPr>
              <w:jc w:val="center"/>
              <w:rPr>
                <w:rFonts w:ascii="微软雅黑" w:hAnsi="微软雅黑" w:eastAsia="微软雅黑"/>
                <w:sz w:val="18"/>
                <w:szCs w:val="18"/>
                <w:lang w:val="en-US"/>
              </w:rPr>
            </w:pPr>
            <w:r>
              <w:rPr>
                <w:rFonts w:ascii="微软雅黑" w:hAnsi="微软雅黑" w:eastAsia="微软雅黑"/>
                <w:sz w:val="18"/>
                <w:szCs w:val="18"/>
                <w:lang w:val="en-US"/>
              </w:rPr>
              <w:t>单体</w:t>
            </w:r>
          </w:p>
        </w:tc>
        <w:tc>
          <w:tcPr>
            <w:tcW w:w="1697" w:type="dxa"/>
            <w:shd w:val="clear" w:color="auto" w:fill="auto"/>
            <w:vAlign w:val="center"/>
          </w:tcPr>
          <w:p w14:paraId="5F532F36">
            <w:pPr>
              <w:jc w:val="center"/>
              <w:rPr>
                <w:rFonts w:ascii="微软雅黑" w:hAnsi="微软雅黑" w:eastAsia="微软雅黑"/>
                <w:sz w:val="18"/>
                <w:szCs w:val="18"/>
                <w:lang w:val="en-US"/>
              </w:rPr>
            </w:pPr>
            <w:r>
              <w:rPr>
                <w:rFonts w:ascii="微软雅黑" w:hAnsi="微软雅黑" w:eastAsia="微软雅黑"/>
                <w:sz w:val="18"/>
                <w:szCs w:val="18"/>
                <w:lang w:val="en-US"/>
              </w:rPr>
              <w:t>9.14</w:t>
            </w:r>
          </w:p>
        </w:tc>
        <w:tc>
          <w:tcPr>
            <w:tcW w:w="1697" w:type="dxa"/>
            <w:shd w:val="clear" w:color="auto" w:fill="auto"/>
            <w:vAlign w:val="center"/>
          </w:tcPr>
          <w:p w14:paraId="149A9181">
            <w:pPr>
              <w:jc w:val="center"/>
              <w:rPr>
                <w:rFonts w:ascii="微软雅黑" w:hAnsi="微软雅黑" w:eastAsia="微软雅黑"/>
                <w:sz w:val="18"/>
                <w:szCs w:val="18"/>
                <w:lang w:val="en-US"/>
              </w:rPr>
            </w:pPr>
            <w:r>
              <w:rPr>
                <w:rFonts w:ascii="微软雅黑" w:hAnsi="微软雅黑" w:eastAsia="微软雅黑"/>
                <w:sz w:val="18"/>
                <w:szCs w:val="18"/>
                <w:lang w:val="en-US"/>
              </w:rPr>
              <w:t>-13.50</w:t>
            </w:r>
          </w:p>
        </w:tc>
        <w:tc>
          <w:tcPr>
            <w:tcW w:w="2401" w:type="dxa"/>
            <w:shd w:val="clear" w:color="auto" w:fill="auto"/>
            <w:vAlign w:val="center"/>
          </w:tcPr>
          <w:p w14:paraId="6C01BA56">
            <w:pPr>
              <w:jc w:val="center"/>
              <w:rPr>
                <w:rFonts w:ascii="微软雅黑" w:hAnsi="微软雅黑" w:eastAsia="微软雅黑"/>
                <w:sz w:val="18"/>
                <w:szCs w:val="18"/>
                <w:lang w:val="en-US"/>
              </w:rPr>
            </w:pPr>
            <w:r>
              <w:rPr>
                <w:rFonts w:ascii="微软雅黑" w:hAnsi="微软雅黑" w:eastAsia="微软雅黑"/>
                <w:color w:val="FF0000"/>
                <w:sz w:val="18"/>
                <w:szCs w:val="18"/>
                <w:lang w:val="en-US"/>
              </w:rPr>
              <w:t>22.64</w:t>
            </w:r>
          </w:p>
        </w:tc>
        <w:tc>
          <w:tcPr>
            <w:tcW w:w="1151" w:type="dxa"/>
            <w:shd w:val="clear" w:color="auto" w:fill="auto"/>
            <w:vAlign w:val="center"/>
          </w:tcPr>
          <w:p w14:paraId="4B84B3D0">
            <w:pPr>
              <w:jc w:val="center"/>
              <w:rPr>
                <w:rFonts w:ascii="微软雅黑" w:hAnsi="微软雅黑" w:eastAsia="微软雅黑"/>
                <w:sz w:val="18"/>
                <w:szCs w:val="18"/>
                <w:lang w:val="en-US"/>
              </w:rPr>
            </w:pPr>
            <w:r>
              <w:rPr>
                <w:rFonts w:ascii="微软雅黑" w:hAnsi="微软雅黑" w:eastAsia="微软雅黑"/>
                <w:color w:val="FF0000"/>
                <w:sz w:val="18"/>
                <w:szCs w:val="18"/>
                <w:lang w:val="en-US"/>
              </w:rPr>
              <w:t>否</w:t>
            </w:r>
          </w:p>
        </w:tc>
      </w:tr>
      <w:tr w14:paraId="6768C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685ED63A">
            <w:pPr>
              <w:jc w:val="center"/>
              <w:rPr>
                <w:rFonts w:ascii="微软雅黑" w:hAnsi="微软雅黑" w:eastAsia="微软雅黑"/>
                <w:sz w:val="18"/>
                <w:szCs w:val="18"/>
                <w:lang w:val="en-US"/>
              </w:rPr>
            </w:pPr>
            <w:r>
              <w:rPr>
                <w:rFonts w:ascii="微软雅黑" w:hAnsi="微软雅黑" w:eastAsia="微软雅黑"/>
                <w:sz w:val="18"/>
                <w:szCs w:val="18"/>
                <w:lang w:val="en-US"/>
              </w:rPr>
              <w:t>风禾驿</w:t>
            </w:r>
          </w:p>
        </w:tc>
        <w:tc>
          <w:tcPr>
            <w:tcW w:w="1697" w:type="dxa"/>
            <w:shd w:val="clear" w:color="auto" w:fill="auto"/>
            <w:vAlign w:val="center"/>
          </w:tcPr>
          <w:p w14:paraId="027A3436">
            <w:pPr>
              <w:jc w:val="center"/>
              <w:rPr>
                <w:rFonts w:ascii="微软雅黑" w:hAnsi="微软雅黑" w:eastAsia="微软雅黑"/>
                <w:sz w:val="18"/>
                <w:szCs w:val="18"/>
                <w:lang w:val="en-US"/>
              </w:rPr>
            </w:pPr>
            <w:r>
              <w:rPr>
                <w:rFonts w:ascii="微软雅黑" w:hAnsi="微软雅黑" w:eastAsia="微软雅黑"/>
                <w:sz w:val="18"/>
                <w:szCs w:val="18"/>
                <w:lang w:val="en-US"/>
              </w:rPr>
              <w:t>14.74</w:t>
            </w:r>
          </w:p>
        </w:tc>
        <w:tc>
          <w:tcPr>
            <w:tcW w:w="1697" w:type="dxa"/>
            <w:shd w:val="clear" w:color="auto" w:fill="auto"/>
            <w:vAlign w:val="center"/>
          </w:tcPr>
          <w:p w14:paraId="614131E9">
            <w:pPr>
              <w:jc w:val="center"/>
              <w:rPr>
                <w:rFonts w:ascii="微软雅黑" w:hAnsi="微软雅黑" w:eastAsia="微软雅黑"/>
                <w:sz w:val="18"/>
                <w:szCs w:val="18"/>
                <w:lang w:val="en-US"/>
              </w:rPr>
            </w:pPr>
            <w:r>
              <w:rPr>
                <w:rFonts w:ascii="微软雅黑" w:hAnsi="微软雅黑" w:eastAsia="微软雅黑"/>
                <w:sz w:val="18"/>
                <w:szCs w:val="18"/>
                <w:lang w:val="en-US"/>
              </w:rPr>
              <w:t>-8.79</w:t>
            </w:r>
          </w:p>
        </w:tc>
        <w:tc>
          <w:tcPr>
            <w:tcW w:w="2401" w:type="dxa"/>
            <w:shd w:val="clear" w:color="auto" w:fill="auto"/>
            <w:vAlign w:val="center"/>
          </w:tcPr>
          <w:p w14:paraId="07182C58">
            <w:pPr>
              <w:jc w:val="center"/>
              <w:rPr>
                <w:rFonts w:ascii="微软雅黑" w:hAnsi="微软雅黑" w:eastAsia="微软雅黑"/>
                <w:sz w:val="18"/>
                <w:szCs w:val="18"/>
                <w:lang w:val="en-US"/>
              </w:rPr>
            </w:pPr>
            <w:r>
              <w:rPr>
                <w:rFonts w:ascii="微软雅黑" w:hAnsi="微软雅黑" w:eastAsia="微软雅黑"/>
                <w:color w:val="FF0000"/>
                <w:sz w:val="18"/>
                <w:szCs w:val="18"/>
                <w:lang w:val="en-US"/>
              </w:rPr>
              <w:t>23.53</w:t>
            </w:r>
          </w:p>
        </w:tc>
        <w:tc>
          <w:tcPr>
            <w:tcW w:w="1151" w:type="dxa"/>
            <w:shd w:val="clear" w:color="auto" w:fill="auto"/>
            <w:vAlign w:val="center"/>
          </w:tcPr>
          <w:p w14:paraId="524CF880">
            <w:pPr>
              <w:jc w:val="center"/>
              <w:rPr>
                <w:rFonts w:ascii="微软雅黑" w:hAnsi="微软雅黑" w:eastAsia="微软雅黑"/>
                <w:sz w:val="18"/>
                <w:szCs w:val="18"/>
                <w:lang w:val="en-US"/>
              </w:rPr>
            </w:pPr>
            <w:r>
              <w:rPr>
                <w:rFonts w:ascii="微软雅黑" w:hAnsi="微软雅黑" w:eastAsia="微软雅黑"/>
                <w:color w:val="FF0000"/>
                <w:sz w:val="18"/>
                <w:szCs w:val="18"/>
                <w:lang w:val="en-US"/>
              </w:rPr>
              <w:t>否</w:t>
            </w:r>
          </w:p>
        </w:tc>
      </w:tr>
      <w:tr w14:paraId="7C8BE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5A8AFB41">
            <w:pPr>
              <w:jc w:val="center"/>
              <w:rPr>
                <w:rFonts w:ascii="微软雅黑" w:hAnsi="微软雅黑" w:eastAsia="微软雅黑"/>
                <w:sz w:val="18"/>
                <w:szCs w:val="18"/>
                <w:lang w:val="en-US"/>
              </w:rPr>
            </w:pPr>
            <w:r>
              <w:rPr>
                <w:rFonts w:ascii="微软雅黑" w:hAnsi="微软雅黑" w:eastAsia="微软雅黑"/>
                <w:sz w:val="18"/>
                <w:szCs w:val="18"/>
                <w:lang w:val="en-US"/>
              </w:rPr>
              <w:t>未命名</w:t>
            </w:r>
          </w:p>
        </w:tc>
        <w:tc>
          <w:tcPr>
            <w:tcW w:w="1697" w:type="dxa"/>
            <w:shd w:val="clear" w:color="auto" w:fill="auto"/>
            <w:vAlign w:val="center"/>
          </w:tcPr>
          <w:p w14:paraId="189BF9DF">
            <w:pPr>
              <w:jc w:val="center"/>
              <w:rPr>
                <w:rFonts w:ascii="微软雅黑" w:hAnsi="微软雅黑" w:eastAsia="微软雅黑"/>
                <w:sz w:val="18"/>
                <w:szCs w:val="18"/>
                <w:lang w:val="en-US"/>
              </w:rPr>
            </w:pPr>
            <w:r>
              <w:rPr>
                <w:rFonts w:ascii="微软雅黑" w:hAnsi="微软雅黑" w:eastAsia="微软雅黑"/>
                <w:sz w:val="18"/>
                <w:szCs w:val="18"/>
                <w:lang w:val="en-US"/>
              </w:rPr>
              <w:t>-9.08</w:t>
            </w:r>
          </w:p>
        </w:tc>
        <w:tc>
          <w:tcPr>
            <w:tcW w:w="1697" w:type="dxa"/>
            <w:shd w:val="clear" w:color="auto" w:fill="auto"/>
            <w:vAlign w:val="center"/>
          </w:tcPr>
          <w:p w14:paraId="15F091DB">
            <w:pPr>
              <w:jc w:val="center"/>
              <w:rPr>
                <w:rFonts w:ascii="微软雅黑" w:hAnsi="微软雅黑" w:eastAsia="微软雅黑"/>
                <w:sz w:val="18"/>
                <w:szCs w:val="18"/>
                <w:lang w:val="en-US"/>
              </w:rPr>
            </w:pPr>
            <w:r>
              <w:rPr>
                <w:rFonts w:ascii="微软雅黑" w:hAnsi="微软雅黑" w:eastAsia="微软雅黑"/>
                <w:sz w:val="18"/>
                <w:szCs w:val="18"/>
                <w:lang w:val="en-US"/>
              </w:rPr>
              <w:t>-9.75</w:t>
            </w:r>
          </w:p>
        </w:tc>
        <w:tc>
          <w:tcPr>
            <w:tcW w:w="2401" w:type="dxa"/>
            <w:shd w:val="clear" w:color="auto" w:fill="auto"/>
            <w:vAlign w:val="center"/>
          </w:tcPr>
          <w:p w14:paraId="70912285">
            <w:pPr>
              <w:jc w:val="center"/>
              <w:rPr>
                <w:rFonts w:ascii="微软雅黑" w:hAnsi="微软雅黑" w:eastAsia="微软雅黑"/>
                <w:sz w:val="18"/>
                <w:szCs w:val="18"/>
                <w:lang w:val="en-US"/>
              </w:rPr>
            </w:pPr>
            <w:r>
              <w:rPr>
                <w:rFonts w:ascii="微软雅黑" w:hAnsi="微软雅黑" w:eastAsia="微软雅黑"/>
                <w:sz w:val="18"/>
                <w:szCs w:val="18"/>
                <w:lang w:val="en-US"/>
              </w:rPr>
              <w:t>0.67</w:t>
            </w:r>
          </w:p>
        </w:tc>
        <w:tc>
          <w:tcPr>
            <w:tcW w:w="1151" w:type="dxa"/>
            <w:shd w:val="clear" w:color="auto" w:fill="auto"/>
            <w:vAlign w:val="center"/>
          </w:tcPr>
          <w:p w14:paraId="5C92F844">
            <w:pPr>
              <w:jc w:val="center"/>
              <w:rPr>
                <w:rFonts w:ascii="微软雅黑" w:hAnsi="微软雅黑" w:eastAsia="微软雅黑"/>
                <w:sz w:val="18"/>
                <w:szCs w:val="18"/>
                <w:lang w:val="en-US"/>
              </w:rPr>
            </w:pPr>
            <w:r>
              <w:rPr>
                <w:rFonts w:ascii="微软雅黑" w:hAnsi="微软雅黑" w:eastAsia="微软雅黑"/>
                <w:sz w:val="18"/>
                <w:szCs w:val="18"/>
                <w:lang w:val="en-US"/>
              </w:rPr>
              <w:t>是</w:t>
            </w:r>
          </w:p>
        </w:tc>
      </w:tr>
      <w:bookmarkEnd w:id="108"/>
    </w:tbl>
    <w:p w14:paraId="78EAB8B6">
      <w:pPr>
        <w:rPr>
          <w:rFonts w:ascii="微软雅黑" w:hAnsi="微软雅黑" w:eastAsia="微软雅黑"/>
          <w:lang w:val="en-US"/>
        </w:rPr>
      </w:pPr>
      <w:bookmarkStart w:id="109" w:name="建筑迎风和背风面风压差结论汇总结论"/>
      <w:bookmarkEnd w:id="109"/>
      <w:r>
        <w:rPr>
          <w:rFonts w:ascii="微软雅黑" w:hAnsi="微软雅黑" w:eastAsia="微软雅黑"/>
          <w:lang w:val="en-US"/>
        </w:rPr>
        <w:t>结论：本项目中参评建筑单体、风禾驿迎背风压差</w:t>
      </w:r>
      <w:r>
        <w:rPr>
          <w:rFonts w:ascii="微软雅黑" w:hAnsi="微软雅黑" w:eastAsia="微软雅黑"/>
          <w:b/>
          <w:color w:val="FF0000"/>
          <w:lang w:val="en-US"/>
        </w:rPr>
        <w:t>超过</w:t>
      </w:r>
      <w:r>
        <w:rPr>
          <w:rFonts w:ascii="微软雅黑" w:hAnsi="微软雅黑" w:eastAsia="微软雅黑"/>
          <w:lang w:val="en-US"/>
        </w:rPr>
        <w:t>5Pa，</w:t>
      </w:r>
      <w:r>
        <w:rPr>
          <w:rFonts w:ascii="微软雅黑" w:hAnsi="微软雅黑" w:eastAsia="微软雅黑"/>
          <w:b/>
          <w:color w:val="FF0000"/>
          <w:lang w:val="en-US"/>
        </w:rPr>
        <w:t>未满足</w:t>
      </w:r>
      <w:r>
        <w:rPr>
          <w:rFonts w:ascii="微软雅黑" w:hAnsi="微软雅黑" w:eastAsia="微软雅黑"/>
          <w:lang w:val="en-US"/>
        </w:rPr>
        <w:t>“除迎风第一排建筑外，建筑迎风面与背风面表面风压差不超过5Pa”的要求，该条不得分。</w:t>
      </w:r>
    </w:p>
    <w:p w14:paraId="76243F56">
      <w:pPr>
        <w:rPr>
          <w:rFonts w:ascii="微软雅黑" w:hAnsi="微软雅黑" w:eastAsia="微软雅黑"/>
          <w:lang w:val="en-US"/>
        </w:rPr>
      </w:pPr>
      <w:r>
        <w:rPr>
          <w:rFonts w:ascii="微软雅黑" w:hAnsi="微软雅黑" w:eastAsia="微软雅黑"/>
          <w:b/>
          <w:color w:val="000000"/>
          <w:lang w:val="en-US"/>
        </w:rPr>
        <w:t>说明：所有单体建筑各层迎风和背风面风压差信息详见附录。</w:t>
      </w:r>
    </w:p>
    <w:p w14:paraId="2B5B378A">
      <w:pPr>
        <w:rPr>
          <w:lang w:val="en-US"/>
        </w:rPr>
      </w:pPr>
      <w:bookmarkStart w:id="110" w:name="冬季工况"/>
      <w:bookmarkEnd w:id="110"/>
      <w:r>
        <w:rPr>
          <w:rFonts w:hint="eastAsia"/>
          <w:lang w:val="en-US"/>
        </w:rPr>
        <w:t xml:space="preserve"> </w:t>
      </w:r>
    </w:p>
    <w:p w14:paraId="21E4A6C3">
      <w:pPr>
        <w:pStyle w:val="4"/>
      </w:pPr>
      <w:bookmarkStart w:id="111" w:name="_Toc509844759"/>
      <w:bookmarkStart w:id="112" w:name="_Toc24809"/>
      <w:r>
        <w:rPr>
          <w:rFonts w:hint="eastAsia"/>
        </w:rPr>
        <w:t>夏季工况</w:t>
      </w:r>
      <w:bookmarkEnd w:id="111"/>
      <w:bookmarkEnd w:id="112"/>
    </w:p>
    <w:p w14:paraId="6A566D34">
      <w:pPr>
        <w:ind w:firstLine="420"/>
      </w:pPr>
      <w:r>
        <w:rPr>
          <w:rFonts w:hint="eastAsia"/>
          <w:lang w:val="en-US"/>
        </w:rPr>
        <w:t>本项目夏季工况的入口边界风速为</w:t>
      </w:r>
      <w:bookmarkStart w:id="113" w:name="入口边界风速"/>
      <w:r>
        <w:rPr>
          <w:rFonts w:hint="eastAsia"/>
          <w:lang w:val="en-US"/>
        </w:rPr>
        <w:t>3.00</w:t>
      </w:r>
      <w:bookmarkEnd w:id="113"/>
      <w:r>
        <w:rPr>
          <w:rFonts w:hint="eastAsia"/>
          <w:lang w:val="en-US"/>
        </w:rPr>
        <w:t>m/s，风向为</w:t>
      </w:r>
      <w:bookmarkStart w:id="114" w:name="入口边界风向"/>
      <w:r>
        <w:t>SE</w:t>
      </w:r>
      <w:bookmarkEnd w:id="114"/>
      <w:r>
        <w:rPr>
          <w:rFonts w:hint="eastAsia"/>
          <w:lang w:val="en-US"/>
        </w:rPr>
        <w:t>。</w:t>
      </w:r>
    </w:p>
    <w:p w14:paraId="61A5CBD7">
      <w:pPr>
        <w:ind w:firstLine="420"/>
      </w:pPr>
      <w:r>
        <w:rPr>
          <w:rFonts w:hint="eastAsia"/>
          <w:lang w:val="en-US"/>
        </w:rPr>
        <w:t>根据前述《绿色建筑评价标准》 对于夏季工况的要求，夏季典型风速和风向条件下，场地内人活动区不出现涡旋或无风区。通过该项标准指导设计确保合理的建筑布局，在</w:t>
      </w:r>
      <w:bookmarkStart w:id="115" w:name="季节4"/>
      <w:r>
        <w:rPr>
          <w:rFonts w:hint="eastAsia"/>
          <w:lang w:val="en-US"/>
        </w:rPr>
        <w:t>夏季</w:t>
      </w:r>
      <w:bookmarkEnd w:id="115"/>
      <w:r>
        <w:rPr>
          <w:rFonts w:hint="eastAsia"/>
          <w:lang w:val="en-US"/>
        </w:rPr>
        <w:t>形成有效的巷道风，优化街区自然通风环境，避免</w:t>
      </w:r>
      <w:bookmarkStart w:id="116" w:name="季节5"/>
      <w:r>
        <w:rPr>
          <w:rFonts w:hint="eastAsia"/>
          <w:lang w:val="en-US"/>
        </w:rPr>
        <w:t>夏季</w:t>
      </w:r>
      <w:bookmarkEnd w:id="116"/>
      <w:r>
        <w:rPr>
          <w:rFonts w:hint="eastAsia"/>
          <w:lang w:val="en-US"/>
        </w:rPr>
        <w:t>人活动区有明显的气流旋涡和无风区，从而造成闷热不适感。因此本项目需要分析人活动区的风速，并作出判断。</w:t>
      </w:r>
    </w:p>
    <w:p w14:paraId="37132736">
      <w:pPr>
        <w:ind w:firstLine="420"/>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01455D2E">
      <w:pPr>
        <w:ind w:firstLine="420"/>
      </w:pPr>
      <w:r>
        <w:rPr>
          <w:rFonts w:hint="eastAsia"/>
          <w:lang w:val="en-US"/>
        </w:rPr>
        <w:t>注：无风区的定义参考《</w:t>
      </w:r>
      <w:r>
        <w:rPr>
          <w:rFonts w:hint="eastAsia"/>
        </w:rPr>
        <w:t>建筑设计资料集</w:t>
      </w:r>
      <w:r>
        <w:rPr>
          <w:rFonts w:hint="eastAsia"/>
          <w:lang w:val="en-US"/>
        </w:rPr>
        <w:t>》第一分册，第二版。</w:t>
      </w:r>
    </w:p>
    <w:p w14:paraId="1FBB2327">
      <w:pPr>
        <w:pStyle w:val="5"/>
      </w:pPr>
      <w:bookmarkStart w:id="117" w:name="_Toc509844760"/>
      <w:r>
        <w:rPr>
          <w:rFonts w:hint="eastAsia"/>
        </w:rPr>
        <w:t>人活动区域无风区计算分析</w:t>
      </w:r>
      <w:bookmarkEnd w:id="117"/>
    </w:p>
    <w:p w14:paraId="53AA2F57">
      <w:pPr>
        <w:ind w:firstLine="420"/>
      </w:pPr>
      <w:bookmarkStart w:id="118" w:name="人行区风速分析"/>
      <w:r>
        <w:rPr>
          <w:rFonts w:hint="eastAsia"/>
        </w:rPr>
        <w:t>（本项目未划分人活动区域）</w:t>
      </w:r>
    </w:p>
    <w:bookmarkEnd w:id="118"/>
    <w:p w14:paraId="72893DB4">
      <w:pPr>
        <w:pStyle w:val="5"/>
      </w:pPr>
      <w:bookmarkStart w:id="119" w:name="_Toc509844761"/>
      <w:r>
        <w:rPr>
          <w:rFonts w:hint="eastAsia"/>
        </w:rPr>
        <w:t>人活动区域旋涡区分析</w:t>
      </w:r>
      <w:bookmarkEnd w:id="119"/>
    </w:p>
    <w:p w14:paraId="4E2054FA">
      <w:pPr>
        <w:ind w:firstLine="420"/>
      </w:pPr>
      <w:bookmarkStart w:id="120" w:name="人行区风速矢量分析"/>
      <w:r>
        <w:rPr>
          <w:rFonts w:hint="eastAsia"/>
        </w:rPr>
        <w:t>（本项目未划分人活动区域）</w:t>
      </w:r>
    </w:p>
    <w:bookmarkEnd w:id="120"/>
    <w:p w14:paraId="7A385239">
      <w:pPr>
        <w:pStyle w:val="5"/>
      </w:pPr>
      <w:bookmarkStart w:id="121" w:name="_Toc509844762"/>
      <w:r>
        <w:rPr>
          <w:rFonts w:hint="eastAsia"/>
        </w:rPr>
        <w:t>人活动区域旋涡区/无风区达标</w:t>
      </w:r>
      <w:bookmarkEnd w:id="121"/>
      <w:r>
        <w:rPr>
          <w:rFonts w:hint="eastAsia"/>
        </w:rPr>
        <w:t>结果汇总</w:t>
      </w:r>
    </w:p>
    <w:p w14:paraId="56A4CB80">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122" w:name="季节8"/>
      <w:r>
        <w:rPr>
          <w:rFonts w:hint="eastAsia" w:ascii="微软雅黑" w:hAnsi="微软雅黑" w:eastAsia="微软雅黑"/>
          <w:sz w:val="18"/>
          <w:szCs w:val="18"/>
        </w:rPr>
        <w:t>夏季</w:t>
      </w:r>
      <w:bookmarkEnd w:id="122"/>
      <w:r>
        <w:rPr>
          <w:rFonts w:hint="eastAsia" w:ascii="微软雅黑" w:hAnsi="微软雅黑" w:eastAsia="微软雅黑"/>
          <w:sz w:val="18"/>
          <w:szCs w:val="18"/>
        </w:rPr>
        <w:t>无风区/旋涡区达标分析汇总</w:t>
      </w:r>
    </w:p>
    <w:tbl>
      <w:tblPr>
        <w:tblStyle w:val="28"/>
        <w:tblW w:w="8363" w:type="dxa"/>
        <w:tblInd w:w="108" w:type="dxa"/>
        <w:tblLayout w:type="autofit"/>
        <w:tblCellMar>
          <w:top w:w="0" w:type="dxa"/>
          <w:left w:w="108" w:type="dxa"/>
          <w:bottom w:w="0" w:type="dxa"/>
          <w:right w:w="108" w:type="dxa"/>
        </w:tblCellMar>
      </w:tblPr>
      <w:tblGrid>
        <w:gridCol w:w="1843"/>
        <w:gridCol w:w="2126"/>
        <w:gridCol w:w="2693"/>
        <w:gridCol w:w="1701"/>
      </w:tblGrid>
      <w:tr w14:paraId="5E89B506">
        <w:tblPrEx>
          <w:tblCellMar>
            <w:top w:w="0" w:type="dxa"/>
            <w:left w:w="108" w:type="dxa"/>
            <w:bottom w:w="0" w:type="dxa"/>
            <w:right w:w="108" w:type="dxa"/>
          </w:tblCellMar>
        </w:tblPrEx>
        <w:trPr>
          <w:trHeight w:val="270"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72918">
            <w:pPr>
              <w:spacing w:line="400" w:lineRule="exact"/>
              <w:jc w:val="center"/>
              <w:rPr>
                <w:rFonts w:cs="宋体"/>
                <w:b/>
                <w:color w:val="000000"/>
                <w:sz w:val="18"/>
                <w:szCs w:val="18"/>
                <w:lang w:val="en-US"/>
              </w:rPr>
            </w:pPr>
            <w:r>
              <w:rPr>
                <w:rFonts w:hint="eastAsia" w:cs="宋体"/>
                <w:b/>
                <w:color w:val="000000"/>
                <w:sz w:val="18"/>
                <w:szCs w:val="18"/>
                <w:lang w:val="en-US"/>
              </w:rPr>
              <w:t>评价量</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7B3BB813">
            <w:pPr>
              <w:spacing w:line="400" w:lineRule="exact"/>
              <w:jc w:val="center"/>
              <w:rPr>
                <w:rFonts w:cs="宋体"/>
                <w:b/>
                <w:color w:val="000000"/>
                <w:sz w:val="18"/>
                <w:szCs w:val="18"/>
                <w:lang w:val="en-US"/>
              </w:rPr>
            </w:pPr>
            <w:r>
              <w:rPr>
                <w:rFonts w:hint="eastAsia" w:cs="宋体"/>
                <w:b/>
                <w:color w:val="000000"/>
                <w:sz w:val="18"/>
                <w:szCs w:val="18"/>
                <w:lang w:val="en-US"/>
              </w:rPr>
              <w:t>标准要求</w:t>
            </w:r>
          </w:p>
        </w:tc>
        <w:tc>
          <w:tcPr>
            <w:tcW w:w="2693" w:type="dxa"/>
            <w:tcBorders>
              <w:top w:val="single" w:color="auto" w:sz="4" w:space="0"/>
              <w:left w:val="nil"/>
              <w:bottom w:val="single" w:color="auto" w:sz="4" w:space="0"/>
              <w:right w:val="single" w:color="auto" w:sz="4" w:space="0"/>
            </w:tcBorders>
            <w:shd w:val="clear" w:color="auto" w:fill="auto"/>
            <w:noWrap/>
            <w:vAlign w:val="center"/>
          </w:tcPr>
          <w:p w14:paraId="5C331118">
            <w:pPr>
              <w:spacing w:line="40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73FB4AF">
            <w:pPr>
              <w:spacing w:line="400" w:lineRule="exact"/>
              <w:jc w:val="center"/>
              <w:rPr>
                <w:rFonts w:cs="宋体"/>
                <w:b/>
                <w:color w:val="000000"/>
                <w:sz w:val="18"/>
                <w:szCs w:val="18"/>
                <w:lang w:val="en-US"/>
              </w:rPr>
            </w:pPr>
            <w:r>
              <w:rPr>
                <w:rFonts w:hint="eastAsia" w:cs="宋体"/>
                <w:b/>
                <w:color w:val="000000"/>
                <w:sz w:val="18"/>
                <w:szCs w:val="18"/>
                <w:lang w:val="en-US"/>
              </w:rPr>
              <w:t>达标判断</w:t>
            </w:r>
          </w:p>
        </w:tc>
      </w:tr>
      <w:tr w14:paraId="1EDFABE3">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707A7516">
            <w:pPr>
              <w:spacing w:line="400" w:lineRule="exact"/>
              <w:jc w:val="center"/>
              <w:rPr>
                <w:rFonts w:cs="宋体"/>
                <w:sz w:val="18"/>
                <w:szCs w:val="18"/>
              </w:rPr>
            </w:pPr>
            <w:r>
              <w:rPr>
                <w:rFonts w:hint="eastAsia" w:cs="宋体"/>
                <w:sz w:val="18"/>
                <w:szCs w:val="18"/>
              </w:rPr>
              <w:t>无风区</w:t>
            </w:r>
          </w:p>
        </w:tc>
        <w:tc>
          <w:tcPr>
            <w:tcW w:w="2126" w:type="dxa"/>
            <w:tcBorders>
              <w:top w:val="nil"/>
              <w:left w:val="nil"/>
              <w:bottom w:val="single" w:color="auto" w:sz="4" w:space="0"/>
              <w:right w:val="single" w:color="auto" w:sz="4" w:space="0"/>
            </w:tcBorders>
            <w:shd w:val="clear" w:color="auto" w:fill="auto"/>
            <w:noWrap/>
            <w:vAlign w:val="center"/>
          </w:tcPr>
          <w:p w14:paraId="04D06F80">
            <w:pPr>
              <w:spacing w:line="400" w:lineRule="exact"/>
              <w:jc w:val="center"/>
              <w:rPr>
                <w:rFonts w:cs="宋体"/>
                <w:sz w:val="18"/>
                <w:szCs w:val="18"/>
              </w:rPr>
            </w:pPr>
            <w:r>
              <w:rPr>
                <w:rFonts w:hint="eastAsia" w:cs="宋体"/>
                <w:sz w:val="18"/>
                <w:szCs w:val="18"/>
              </w:rPr>
              <w:t>无风区面积为0</w:t>
            </w:r>
          </w:p>
        </w:tc>
        <w:tc>
          <w:tcPr>
            <w:tcW w:w="2693" w:type="dxa"/>
            <w:tcBorders>
              <w:top w:val="nil"/>
              <w:left w:val="nil"/>
              <w:bottom w:val="single" w:color="auto" w:sz="4" w:space="0"/>
              <w:right w:val="single" w:color="auto" w:sz="4" w:space="0"/>
            </w:tcBorders>
            <w:shd w:val="clear" w:color="auto" w:fill="auto"/>
            <w:noWrap/>
            <w:vAlign w:val="center"/>
          </w:tcPr>
          <w:p w14:paraId="39F88649">
            <w:pPr>
              <w:spacing w:line="400" w:lineRule="exact"/>
              <w:jc w:val="center"/>
              <w:rPr>
                <w:rFonts w:cs="宋体"/>
                <w:color w:val="000000"/>
                <w:sz w:val="18"/>
                <w:szCs w:val="18"/>
                <w:lang w:val="en-US"/>
              </w:rPr>
            </w:pPr>
            <w:bookmarkStart w:id="123" w:name="是否有无风区"/>
            <w:r>
              <w:rPr>
                <w:rFonts w:hint="eastAsia" w:cs="宋体"/>
                <w:color w:val="000000"/>
                <w:sz w:val="18"/>
                <w:szCs w:val="18"/>
                <w:lang w:val="en-US"/>
              </w:rPr>
              <w:t>否</w:t>
            </w:r>
            <w:bookmarkEnd w:id="123"/>
          </w:p>
        </w:tc>
        <w:tc>
          <w:tcPr>
            <w:tcW w:w="1701" w:type="dxa"/>
            <w:tcBorders>
              <w:top w:val="nil"/>
              <w:left w:val="nil"/>
              <w:bottom w:val="single" w:color="auto" w:sz="4" w:space="0"/>
              <w:right w:val="single" w:color="auto" w:sz="4" w:space="0"/>
            </w:tcBorders>
            <w:shd w:val="clear" w:color="auto" w:fill="auto"/>
            <w:noWrap/>
            <w:vAlign w:val="center"/>
          </w:tcPr>
          <w:p w14:paraId="6E2927A9">
            <w:pPr>
              <w:spacing w:line="400" w:lineRule="exact"/>
              <w:jc w:val="center"/>
              <w:rPr>
                <w:rFonts w:cs="宋体"/>
                <w:color w:val="000000"/>
                <w:sz w:val="18"/>
                <w:szCs w:val="18"/>
                <w:lang w:val="en-US"/>
              </w:rPr>
            </w:pPr>
            <w:bookmarkStart w:id="124" w:name="无风区达标判断"/>
            <w:r>
              <w:rPr>
                <w:rFonts w:hint="eastAsia" w:cs="宋体"/>
                <w:color w:val="000000"/>
                <w:sz w:val="18"/>
                <w:szCs w:val="18"/>
                <w:lang w:val="en-US"/>
              </w:rPr>
              <w:t>是</w:t>
            </w:r>
            <w:bookmarkEnd w:id="124"/>
          </w:p>
        </w:tc>
      </w:tr>
      <w:tr w14:paraId="05459128">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7AB320C7">
            <w:pPr>
              <w:spacing w:line="400" w:lineRule="exact"/>
              <w:jc w:val="center"/>
              <w:rPr>
                <w:rFonts w:cs="宋体"/>
                <w:sz w:val="18"/>
                <w:szCs w:val="18"/>
              </w:rPr>
            </w:pPr>
            <w:r>
              <w:rPr>
                <w:rFonts w:hint="eastAsia" w:cs="宋体"/>
                <w:sz w:val="18"/>
                <w:szCs w:val="18"/>
              </w:rPr>
              <w:t>旋涡区</w:t>
            </w:r>
          </w:p>
        </w:tc>
        <w:tc>
          <w:tcPr>
            <w:tcW w:w="2126" w:type="dxa"/>
            <w:tcBorders>
              <w:top w:val="nil"/>
              <w:left w:val="nil"/>
              <w:bottom w:val="single" w:color="auto" w:sz="4" w:space="0"/>
              <w:right w:val="single" w:color="auto" w:sz="4" w:space="0"/>
            </w:tcBorders>
            <w:shd w:val="clear" w:color="auto" w:fill="auto"/>
            <w:noWrap/>
            <w:vAlign w:val="center"/>
          </w:tcPr>
          <w:p w14:paraId="5661A269">
            <w:pPr>
              <w:spacing w:line="400" w:lineRule="exact"/>
              <w:jc w:val="center"/>
              <w:rPr>
                <w:rFonts w:cs="宋体"/>
                <w:sz w:val="18"/>
                <w:szCs w:val="18"/>
              </w:rPr>
            </w:pPr>
            <w:r>
              <w:rPr>
                <w:rFonts w:hint="eastAsia" w:cs="宋体"/>
                <w:sz w:val="18"/>
                <w:szCs w:val="18"/>
              </w:rPr>
              <w:t>旋涡区面积为0</w:t>
            </w:r>
          </w:p>
        </w:tc>
        <w:tc>
          <w:tcPr>
            <w:tcW w:w="2693" w:type="dxa"/>
            <w:tcBorders>
              <w:top w:val="nil"/>
              <w:left w:val="nil"/>
              <w:bottom w:val="single" w:color="auto" w:sz="4" w:space="0"/>
              <w:right w:val="single" w:color="auto" w:sz="4" w:space="0"/>
            </w:tcBorders>
            <w:shd w:val="clear" w:color="auto" w:fill="auto"/>
            <w:noWrap/>
            <w:vAlign w:val="center"/>
          </w:tcPr>
          <w:p w14:paraId="1E5F376D">
            <w:pPr>
              <w:spacing w:line="400" w:lineRule="exact"/>
              <w:jc w:val="center"/>
              <w:rPr>
                <w:rFonts w:cs="宋体"/>
                <w:color w:val="000000"/>
                <w:sz w:val="18"/>
                <w:szCs w:val="18"/>
                <w:lang w:val="en-US"/>
              </w:rPr>
            </w:pPr>
            <w:bookmarkStart w:id="125" w:name="是否有旋涡区"/>
            <w:r>
              <w:rPr>
                <w:rFonts w:cs="宋体"/>
                <w:color w:val="000000"/>
                <w:sz w:val="18"/>
                <w:szCs w:val="18"/>
                <w:lang w:val="en-US"/>
              </w:rPr>
              <w:t>否</w:t>
            </w:r>
            <w:bookmarkEnd w:id="125"/>
          </w:p>
        </w:tc>
        <w:tc>
          <w:tcPr>
            <w:tcW w:w="1701" w:type="dxa"/>
            <w:tcBorders>
              <w:top w:val="nil"/>
              <w:left w:val="nil"/>
              <w:bottom w:val="single" w:color="auto" w:sz="4" w:space="0"/>
              <w:right w:val="single" w:color="auto" w:sz="4" w:space="0"/>
            </w:tcBorders>
            <w:shd w:val="clear" w:color="auto" w:fill="auto"/>
            <w:noWrap/>
            <w:vAlign w:val="center"/>
          </w:tcPr>
          <w:p w14:paraId="7566634B">
            <w:pPr>
              <w:spacing w:line="400" w:lineRule="exact"/>
              <w:jc w:val="center"/>
              <w:rPr>
                <w:rFonts w:cs="宋体"/>
                <w:color w:val="000000"/>
                <w:sz w:val="18"/>
                <w:szCs w:val="18"/>
                <w:lang w:val="en-US"/>
              </w:rPr>
            </w:pPr>
            <w:bookmarkStart w:id="126" w:name="旋涡区达标判断"/>
            <w:r>
              <w:rPr>
                <w:rFonts w:cs="宋体"/>
                <w:color w:val="000000"/>
                <w:sz w:val="18"/>
                <w:szCs w:val="18"/>
                <w:lang w:val="en-US"/>
              </w:rPr>
              <w:t>是</w:t>
            </w:r>
            <w:bookmarkEnd w:id="126"/>
          </w:p>
        </w:tc>
      </w:tr>
    </w:tbl>
    <w:p w14:paraId="2E0A003B">
      <w:pPr>
        <w:pStyle w:val="5"/>
      </w:pPr>
      <w:bookmarkStart w:id="127" w:name="_Toc504501018"/>
      <w:bookmarkStart w:id="128" w:name="_Toc509844763"/>
      <w:r>
        <w:rPr>
          <w:rFonts w:hint="eastAsia"/>
        </w:rPr>
        <w:t>外窗内外表面风压</w:t>
      </w:r>
      <w:bookmarkEnd w:id="127"/>
      <w:r>
        <w:rPr>
          <w:rFonts w:hint="eastAsia"/>
        </w:rPr>
        <w:t>差达标分析</w:t>
      </w:r>
      <w:bookmarkEnd w:id="128"/>
    </w:p>
    <w:p w14:paraId="2D072A9B">
      <w:pPr>
        <w:ind w:firstLine="420"/>
      </w:pPr>
      <w:r>
        <w:rPr>
          <w:rFonts w:hint="eastAsia"/>
          <w:lang w:val="en-US"/>
        </w:rPr>
        <w:t>分析《绿色建筑评价标准》，</w:t>
      </w:r>
      <w:bookmarkStart w:id="129" w:name="季节9"/>
      <w:r>
        <w:rPr>
          <w:rFonts w:hint="eastAsia"/>
          <w:lang w:val="en-US"/>
        </w:rPr>
        <w:t>夏季</w:t>
      </w:r>
      <w:bookmarkEnd w:id="129"/>
      <w:r>
        <w:rPr>
          <w:rFonts w:hint="eastAsia"/>
          <w:lang w:val="en-US"/>
        </w:rPr>
        <w:t>为充分利用自然通风获得良好的室内风环境，要求50%以上可开启外窗室内外表面的风压差大于0.5Pa。</w:t>
      </w:r>
    </w:p>
    <w:p w14:paraId="2045AD99">
      <w:pPr>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04F8B781">
      <w:pPr>
        <w:ind w:firstLine="420"/>
      </w:pPr>
      <w:r>
        <w:rPr>
          <w:rFonts w:hint="eastAsia"/>
          <w:lang w:val="en-US"/>
        </w:rPr>
        <w:t>下图为夏季工况下，建筑迎风面和背风面对应外窗表面的风压分布图，结合图例数值可以清晰看到外窗表面风压小于0.5Pa的外窗区域。</w:t>
      </w:r>
    </w:p>
    <w:p w14:paraId="1E1ADBB0">
      <w:pPr>
        <w:pStyle w:val="3"/>
        <w:ind w:firstLine="0" w:firstLineChars="0"/>
        <w:jc w:val="center"/>
        <w:rPr>
          <w:rFonts w:ascii="微软雅黑" w:hAnsi="微软雅黑" w:eastAsia="微软雅黑"/>
        </w:rPr>
      </w:pPr>
      <w:bookmarkStart w:id="130" w:name="迎风面风压云图"/>
      <w:bookmarkEnd w:id="130"/>
      <w:r>
        <w:drawing>
          <wp:inline distT="0" distB="0" distL="0" distR="0">
            <wp:extent cx="5667375" cy="32861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38"/>
                    <a:stretch>
                      <a:fillRect/>
                    </a:stretch>
                  </pic:blipFill>
                  <pic:spPr>
                    <a:xfrm>
                      <a:off x="0" y="0"/>
                      <a:ext cx="5667375" cy="3286125"/>
                    </a:xfrm>
                    <a:prstGeom prst="rect">
                      <a:avLst/>
                    </a:prstGeom>
                  </pic:spPr>
                </pic:pic>
              </a:graphicData>
            </a:graphic>
          </wp:inline>
        </w:drawing>
      </w:r>
    </w:p>
    <w:p w14:paraId="4DAF366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31" w:name="季节10"/>
      <w:r>
        <w:rPr>
          <w:rFonts w:hint="eastAsia" w:ascii="微软雅黑" w:hAnsi="微软雅黑" w:eastAsia="微软雅黑"/>
          <w:sz w:val="18"/>
          <w:szCs w:val="18"/>
        </w:rPr>
        <w:t>夏季</w:t>
      </w:r>
      <w:bookmarkEnd w:id="131"/>
    </w:p>
    <w:p w14:paraId="03D8FB13">
      <w:pPr>
        <w:jc w:val="center"/>
        <w:rPr>
          <w:rFonts w:ascii="微软雅黑" w:hAnsi="微软雅黑" w:eastAsia="微软雅黑"/>
        </w:rPr>
      </w:pPr>
      <w:bookmarkStart w:id="132" w:name="背风面风压云图"/>
      <w:bookmarkEnd w:id="132"/>
      <w:r>
        <w:drawing>
          <wp:inline distT="0" distB="0" distL="0" distR="0">
            <wp:extent cx="5667375" cy="32956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39"/>
                    <a:stretch>
                      <a:fillRect/>
                    </a:stretch>
                  </pic:blipFill>
                  <pic:spPr>
                    <a:xfrm>
                      <a:off x="0" y="0"/>
                      <a:ext cx="5667375" cy="3295650"/>
                    </a:xfrm>
                    <a:prstGeom prst="rect">
                      <a:avLst/>
                    </a:prstGeom>
                  </pic:spPr>
                </pic:pic>
              </a:graphicData>
            </a:graphic>
          </wp:inline>
        </w:drawing>
      </w:r>
    </w:p>
    <w:p w14:paraId="1D7C5A5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33" w:name="季节11"/>
      <w:r>
        <w:rPr>
          <w:rFonts w:hint="eastAsia" w:ascii="微软雅黑" w:hAnsi="微软雅黑" w:eastAsia="微软雅黑"/>
          <w:sz w:val="18"/>
          <w:szCs w:val="18"/>
        </w:rPr>
        <w:t>夏季</w:t>
      </w:r>
      <w:bookmarkEnd w:id="133"/>
      <w:r>
        <w:rPr>
          <w:rFonts w:hint="eastAsia" w:ascii="微软雅黑" w:hAnsi="微软雅黑" w:eastAsia="微软雅黑"/>
          <w:sz w:val="18"/>
          <w:szCs w:val="18"/>
        </w:rPr>
        <w:t xml:space="preserve"> </w:t>
      </w:r>
    </w:p>
    <w:p w14:paraId="55835021">
      <w:pPr>
        <w:ind w:firstLine="420"/>
      </w:pPr>
      <w:r>
        <w:rPr>
          <w:rFonts w:hint="eastAsia"/>
        </w:rPr>
        <w:t>下表为依据上图提取的外窗外表面平均风压数据，相当于外窗室内外表面风压差数据，并依据标准做出达标判断：</w:t>
      </w:r>
    </w:p>
    <w:p w14:paraId="5F17BC2F">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559"/>
        <w:gridCol w:w="3544"/>
        <w:gridCol w:w="1116"/>
        <w:gridCol w:w="1011"/>
      </w:tblGrid>
      <w:tr w14:paraId="79D78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59E5D8C7">
            <w:pPr>
              <w:jc w:val="center"/>
              <w:rPr>
                <w:sz w:val="18"/>
                <w:szCs w:val="18"/>
                <w:lang w:val="en-US"/>
              </w:rPr>
            </w:pPr>
            <w:bookmarkStart w:id="134" w:name="建筑外窗室内外风压差达标判定"/>
            <w:r>
              <w:rPr>
                <w:rFonts w:hint="eastAsia"/>
                <w:sz w:val="18"/>
                <w:szCs w:val="18"/>
                <w:lang w:val="en-US"/>
              </w:rPr>
              <w:t>建筑编号</w:t>
            </w:r>
          </w:p>
        </w:tc>
        <w:tc>
          <w:tcPr>
            <w:tcW w:w="1559" w:type="dxa"/>
            <w:shd w:val="clear" w:color="auto" w:fill="E6E6E6"/>
            <w:vAlign w:val="center"/>
          </w:tcPr>
          <w:p w14:paraId="5EF5476C">
            <w:pPr>
              <w:jc w:val="center"/>
              <w:rPr>
                <w:sz w:val="18"/>
                <w:szCs w:val="18"/>
                <w:lang w:val="en-US"/>
              </w:rPr>
            </w:pPr>
            <w:r>
              <w:rPr>
                <w:rFonts w:hint="eastAsia"/>
                <w:sz w:val="18"/>
                <w:szCs w:val="18"/>
                <w:lang w:val="en-US"/>
              </w:rPr>
              <w:t>可开启外窗总数</w:t>
            </w:r>
          </w:p>
        </w:tc>
        <w:tc>
          <w:tcPr>
            <w:tcW w:w="3544" w:type="dxa"/>
            <w:shd w:val="clear" w:color="auto" w:fill="E6E6E6"/>
            <w:vAlign w:val="center"/>
          </w:tcPr>
          <w:p w14:paraId="61BAE213">
            <w:pPr>
              <w:jc w:val="center"/>
              <w:rPr>
                <w:sz w:val="18"/>
                <w:szCs w:val="18"/>
                <w:lang w:val="en-US"/>
              </w:rPr>
            </w:pPr>
            <w:r>
              <w:rPr>
                <w:rFonts w:hint="eastAsia"/>
                <w:sz w:val="18"/>
                <w:szCs w:val="18"/>
                <w:lang w:val="en-US"/>
              </w:rPr>
              <w:t>室内外风压差大于0.5Pa的外窗总数</w:t>
            </w:r>
          </w:p>
        </w:tc>
        <w:tc>
          <w:tcPr>
            <w:tcW w:w="1116" w:type="dxa"/>
            <w:shd w:val="clear" w:color="auto" w:fill="E6E6E6"/>
            <w:vAlign w:val="center"/>
          </w:tcPr>
          <w:p w14:paraId="7C355D3E">
            <w:pPr>
              <w:jc w:val="center"/>
              <w:rPr>
                <w:sz w:val="18"/>
                <w:szCs w:val="18"/>
                <w:lang w:val="en-US"/>
              </w:rPr>
            </w:pPr>
            <w:r>
              <w:rPr>
                <w:rFonts w:hint="eastAsia"/>
                <w:sz w:val="18"/>
                <w:szCs w:val="18"/>
                <w:lang w:val="en-US"/>
              </w:rPr>
              <w:t>达标比例（%）</w:t>
            </w:r>
          </w:p>
        </w:tc>
        <w:tc>
          <w:tcPr>
            <w:tcW w:w="1011" w:type="dxa"/>
            <w:shd w:val="clear" w:color="auto" w:fill="E6E6E6"/>
            <w:vAlign w:val="center"/>
          </w:tcPr>
          <w:p w14:paraId="7E5A4029">
            <w:pPr>
              <w:jc w:val="center"/>
              <w:rPr>
                <w:sz w:val="18"/>
                <w:szCs w:val="18"/>
                <w:lang w:val="en-US"/>
              </w:rPr>
            </w:pPr>
            <w:r>
              <w:rPr>
                <w:rFonts w:hint="eastAsia"/>
                <w:sz w:val="18"/>
                <w:szCs w:val="18"/>
                <w:lang w:val="en-US"/>
              </w:rPr>
              <w:t>是否达标</w:t>
            </w:r>
          </w:p>
        </w:tc>
      </w:tr>
      <w:tr w14:paraId="0C4BD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56051EF9">
            <w:pPr>
              <w:jc w:val="center"/>
              <w:rPr>
                <w:sz w:val="18"/>
                <w:szCs w:val="18"/>
                <w:lang w:val="en-US"/>
              </w:rPr>
            </w:pPr>
            <w:r>
              <w:rPr>
                <w:sz w:val="18"/>
                <w:szCs w:val="18"/>
                <w:lang w:val="en-US"/>
              </w:rPr>
              <w:t>单体</w:t>
            </w:r>
          </w:p>
        </w:tc>
        <w:tc>
          <w:tcPr>
            <w:tcW w:w="1559" w:type="dxa"/>
            <w:shd w:val="clear" w:color="auto" w:fill="auto"/>
            <w:vAlign w:val="center"/>
          </w:tcPr>
          <w:p w14:paraId="3A0181C8">
            <w:pPr>
              <w:jc w:val="center"/>
              <w:rPr>
                <w:sz w:val="18"/>
                <w:szCs w:val="18"/>
                <w:lang w:val="en-US"/>
              </w:rPr>
            </w:pPr>
            <w:r>
              <w:rPr>
                <w:sz w:val="18"/>
                <w:szCs w:val="18"/>
                <w:lang w:val="en-US"/>
              </w:rPr>
              <w:t>218</w:t>
            </w:r>
          </w:p>
        </w:tc>
        <w:tc>
          <w:tcPr>
            <w:tcW w:w="3544" w:type="dxa"/>
            <w:shd w:val="clear" w:color="auto" w:fill="auto"/>
            <w:vAlign w:val="center"/>
          </w:tcPr>
          <w:p w14:paraId="759DE8A2">
            <w:pPr>
              <w:jc w:val="center"/>
              <w:rPr>
                <w:sz w:val="18"/>
                <w:szCs w:val="18"/>
                <w:lang w:val="en-US"/>
              </w:rPr>
            </w:pPr>
            <w:r>
              <w:rPr>
                <w:sz w:val="18"/>
                <w:szCs w:val="18"/>
                <w:lang w:val="en-US"/>
              </w:rPr>
              <w:t>214</w:t>
            </w:r>
          </w:p>
        </w:tc>
        <w:tc>
          <w:tcPr>
            <w:tcW w:w="1116" w:type="dxa"/>
            <w:shd w:val="clear" w:color="auto" w:fill="auto"/>
            <w:vAlign w:val="center"/>
          </w:tcPr>
          <w:p w14:paraId="20129A43">
            <w:pPr>
              <w:jc w:val="center"/>
              <w:rPr>
                <w:sz w:val="18"/>
                <w:szCs w:val="18"/>
                <w:lang w:val="en-US"/>
              </w:rPr>
            </w:pPr>
            <w:r>
              <w:rPr>
                <w:sz w:val="18"/>
                <w:szCs w:val="18"/>
                <w:lang w:val="en-US"/>
              </w:rPr>
              <w:t>98.17</w:t>
            </w:r>
          </w:p>
        </w:tc>
        <w:tc>
          <w:tcPr>
            <w:tcW w:w="1011" w:type="dxa"/>
            <w:shd w:val="clear" w:color="auto" w:fill="auto"/>
            <w:vAlign w:val="center"/>
          </w:tcPr>
          <w:p w14:paraId="7FFB6473">
            <w:pPr>
              <w:jc w:val="center"/>
              <w:rPr>
                <w:sz w:val="18"/>
                <w:szCs w:val="18"/>
                <w:lang w:val="en-US"/>
              </w:rPr>
            </w:pPr>
            <w:r>
              <w:rPr>
                <w:sz w:val="18"/>
                <w:szCs w:val="18"/>
                <w:lang w:val="en-US"/>
              </w:rPr>
              <w:t>是</w:t>
            </w:r>
          </w:p>
        </w:tc>
      </w:tr>
      <w:bookmarkEnd w:id="134"/>
    </w:tbl>
    <w:p w14:paraId="4E1F7F51">
      <w:pPr>
        <w:rPr>
          <w:sz w:val="18"/>
          <w:szCs w:val="18"/>
        </w:rPr>
      </w:pPr>
      <w:r>
        <w:rPr>
          <w:rFonts w:hint="eastAsia"/>
          <w:sz w:val="18"/>
          <w:szCs w:val="18"/>
          <w:lang w:val="en-US"/>
        </w:rPr>
        <w:t>说明：达标比例＝（室内外风压差大于0.5Pa的总数/可开启外窗总数）*100％</w:t>
      </w:r>
    </w:p>
    <w:p w14:paraId="2B1DF76B">
      <w:pPr>
        <w:rPr>
          <w:lang w:val="en-US"/>
        </w:rPr>
      </w:pPr>
    </w:p>
    <w:p w14:paraId="53338790">
      <w:pPr>
        <w:ind w:firstLine="420"/>
      </w:pPr>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15D385A9">
      <w:pPr>
        <w:jc w:val="center"/>
        <w:rPr>
          <w:rFonts w:ascii="微软雅黑" w:hAnsi="微软雅黑" w:eastAsia="微软雅黑"/>
        </w:rPr>
      </w:pPr>
      <w:r>
        <w:rPr>
          <w:rFonts w:hint="eastAsia" w:ascii="微软雅黑" w:hAnsi="微软雅黑" w:eastAsia="微软雅黑"/>
        </w:rPr>
        <w:t>表</w:t>
      </w:r>
      <w:r>
        <w:rPr>
          <w:rFonts w:ascii="微软雅黑" w:hAnsi="微软雅黑" w:eastAsia="微软雅黑"/>
        </w:rPr>
        <w:t xml:space="preserve"> </w:t>
      </w:r>
      <w:r>
        <w:rPr>
          <w:rFonts w:ascii="微软雅黑" w:hAnsi="微软雅黑" w:eastAsia="微软雅黑"/>
        </w:rPr>
        <w:fldChar w:fldCharType="begin"/>
      </w:r>
      <w:r>
        <w:rPr>
          <w:rFonts w:ascii="微软雅黑" w:hAnsi="微软雅黑" w:eastAsia="微软雅黑"/>
        </w:rPr>
        <w:instrText xml:space="preserve"> STYLEREF 2 \s </w:instrText>
      </w:r>
      <w:r>
        <w:rPr>
          <w:rFonts w:ascii="微软雅黑" w:hAnsi="微软雅黑" w:eastAsia="微软雅黑"/>
        </w:rPr>
        <w:fldChar w:fldCharType="separate"/>
      </w:r>
      <w:r>
        <w:rPr>
          <w:rFonts w:ascii="微软雅黑" w:hAnsi="微软雅黑" w:eastAsia="微软雅黑"/>
        </w:rPr>
        <w:t>5.3</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w:instrText>
      </w:r>
      <w:r>
        <w:rPr>
          <w:rFonts w:hint="eastAsia" w:ascii="微软雅黑" w:hAnsi="微软雅黑" w:eastAsia="微软雅黑"/>
        </w:rPr>
        <w:instrText xml:space="preserve">表</w:instrText>
      </w:r>
      <w:r>
        <w:rPr>
          <w:rFonts w:ascii="微软雅黑" w:hAnsi="微软雅黑" w:eastAsia="微软雅黑"/>
        </w:rPr>
        <w:instrText xml:space="preserve"> \* ARABIC \s 2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r>
        <w:rPr>
          <w:rFonts w:ascii="微软雅黑" w:hAnsi="微软雅黑" w:eastAsia="微软雅黑"/>
        </w:rPr>
        <w:t xml:space="preserve">  </w:t>
      </w:r>
      <w:r>
        <w:rPr>
          <w:rFonts w:hint="eastAsia" w:ascii="微软雅黑" w:hAnsi="微软雅黑" w:eastAsia="微软雅黑"/>
        </w:rPr>
        <w:t>建筑室内外风压差达标判定表</w:t>
      </w:r>
    </w:p>
    <w:tbl>
      <w:tblPr>
        <w:tblStyle w:val="28"/>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73"/>
        <w:gridCol w:w="1418"/>
        <w:gridCol w:w="3260"/>
        <w:gridCol w:w="1276"/>
        <w:gridCol w:w="1073"/>
      </w:tblGrid>
      <w:tr w14:paraId="6926A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shd w:val="clear" w:color="auto" w:fill="E6E6E6"/>
            <w:vAlign w:val="center"/>
          </w:tcPr>
          <w:p w14:paraId="63E4AD42">
            <w:pPr>
              <w:jc w:val="center"/>
              <w:rPr>
                <w:sz w:val="18"/>
                <w:szCs w:val="18"/>
                <w:lang w:val="en-US"/>
              </w:rPr>
            </w:pPr>
            <w:bookmarkStart w:id="135" w:name="建筑室内外风压差达标判定"/>
            <w:r>
              <w:rPr>
                <w:rFonts w:hint="eastAsia"/>
                <w:sz w:val="18"/>
                <w:szCs w:val="18"/>
                <w:lang w:val="en-US"/>
              </w:rPr>
              <w:t>建筑编号</w:t>
            </w:r>
          </w:p>
        </w:tc>
        <w:tc>
          <w:tcPr>
            <w:tcW w:w="1418" w:type="dxa"/>
            <w:shd w:val="clear" w:color="auto" w:fill="E6E6E6"/>
            <w:vAlign w:val="center"/>
          </w:tcPr>
          <w:p w14:paraId="52FF7184">
            <w:pPr>
              <w:jc w:val="center"/>
              <w:rPr>
                <w:sz w:val="18"/>
                <w:szCs w:val="18"/>
                <w:lang w:val="en-US"/>
              </w:rPr>
            </w:pPr>
            <w:r>
              <w:rPr>
                <w:rFonts w:hint="eastAsia"/>
                <w:sz w:val="18"/>
                <w:szCs w:val="18"/>
                <w:lang w:val="en-US"/>
              </w:rPr>
              <w:t>建筑表面积（㎡）</w:t>
            </w:r>
          </w:p>
        </w:tc>
        <w:tc>
          <w:tcPr>
            <w:tcW w:w="3260" w:type="dxa"/>
            <w:shd w:val="clear" w:color="auto" w:fill="E6E6E6"/>
            <w:vAlign w:val="center"/>
          </w:tcPr>
          <w:p w14:paraId="4F1BF782">
            <w:pPr>
              <w:jc w:val="center"/>
              <w:rPr>
                <w:sz w:val="18"/>
                <w:szCs w:val="18"/>
                <w:lang w:val="en-US"/>
              </w:rPr>
            </w:pPr>
            <w:r>
              <w:rPr>
                <w:rFonts w:hint="eastAsia"/>
                <w:sz w:val="18"/>
                <w:szCs w:val="18"/>
                <w:lang w:val="en-US"/>
              </w:rPr>
              <w:t>室内外风压差大于</w:t>
            </w:r>
            <w:r>
              <w:rPr>
                <w:sz w:val="18"/>
                <w:szCs w:val="18"/>
                <w:lang w:val="en-US"/>
              </w:rPr>
              <w:t>0.5Pa</w:t>
            </w:r>
            <w:r>
              <w:rPr>
                <w:rFonts w:hint="eastAsia"/>
                <w:sz w:val="18"/>
                <w:szCs w:val="18"/>
                <w:lang w:val="en-US"/>
              </w:rPr>
              <w:t>的建筑表面积（㎡）</w:t>
            </w:r>
          </w:p>
        </w:tc>
        <w:tc>
          <w:tcPr>
            <w:tcW w:w="1276" w:type="dxa"/>
            <w:shd w:val="clear" w:color="auto" w:fill="E6E6E6"/>
            <w:vAlign w:val="center"/>
          </w:tcPr>
          <w:p w14:paraId="678B4EEF">
            <w:pPr>
              <w:jc w:val="center"/>
              <w:rPr>
                <w:sz w:val="18"/>
                <w:szCs w:val="18"/>
                <w:lang w:val="en-US"/>
              </w:rPr>
            </w:pPr>
            <w:r>
              <w:rPr>
                <w:rFonts w:hint="eastAsia"/>
                <w:sz w:val="18"/>
                <w:szCs w:val="18"/>
                <w:lang w:val="en-US"/>
              </w:rPr>
              <w:t>达标比例（</w:t>
            </w:r>
            <w:r>
              <w:rPr>
                <w:sz w:val="18"/>
                <w:szCs w:val="18"/>
                <w:lang w:val="en-US"/>
              </w:rPr>
              <w:t>%</w:t>
            </w:r>
            <w:r>
              <w:rPr>
                <w:rFonts w:hint="eastAsia"/>
                <w:sz w:val="18"/>
                <w:szCs w:val="18"/>
                <w:lang w:val="en-US"/>
              </w:rPr>
              <w:t>）</w:t>
            </w:r>
          </w:p>
        </w:tc>
        <w:tc>
          <w:tcPr>
            <w:tcW w:w="1073" w:type="dxa"/>
            <w:shd w:val="clear" w:color="auto" w:fill="E6E6E6"/>
            <w:vAlign w:val="center"/>
          </w:tcPr>
          <w:p w14:paraId="3338BA1F">
            <w:pPr>
              <w:jc w:val="center"/>
              <w:rPr>
                <w:sz w:val="18"/>
                <w:szCs w:val="18"/>
                <w:lang w:val="en-US"/>
              </w:rPr>
            </w:pPr>
            <w:r>
              <w:rPr>
                <w:rFonts w:hint="eastAsia"/>
                <w:sz w:val="18"/>
                <w:szCs w:val="18"/>
                <w:lang w:val="en-US"/>
              </w:rPr>
              <w:t>是否达标</w:t>
            </w:r>
          </w:p>
        </w:tc>
      </w:tr>
      <w:tr w14:paraId="08772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4443B284">
            <w:pPr>
              <w:spacing w:line="440" w:lineRule="exact"/>
              <w:jc w:val="center"/>
              <w:rPr>
                <w:sz w:val="18"/>
                <w:szCs w:val="18"/>
                <w:lang w:val="en-US"/>
              </w:rPr>
            </w:pPr>
            <w:r>
              <w:rPr>
                <w:sz w:val="18"/>
                <w:szCs w:val="18"/>
                <w:lang w:val="en-US"/>
              </w:rPr>
              <w:t>风禾驿</w:t>
            </w:r>
          </w:p>
        </w:tc>
        <w:tc>
          <w:tcPr>
            <w:tcW w:w="1418" w:type="dxa"/>
            <w:vAlign w:val="center"/>
          </w:tcPr>
          <w:p w14:paraId="17E960BE">
            <w:pPr>
              <w:spacing w:line="440" w:lineRule="exact"/>
              <w:jc w:val="center"/>
              <w:rPr>
                <w:sz w:val="18"/>
                <w:szCs w:val="18"/>
                <w:lang w:val="en-US"/>
              </w:rPr>
            </w:pPr>
            <w:r>
              <w:rPr>
                <w:sz w:val="18"/>
                <w:szCs w:val="18"/>
                <w:lang w:val="en-US"/>
              </w:rPr>
              <w:t>14774.80</w:t>
            </w:r>
          </w:p>
        </w:tc>
        <w:tc>
          <w:tcPr>
            <w:tcW w:w="3260" w:type="dxa"/>
            <w:vAlign w:val="center"/>
          </w:tcPr>
          <w:p w14:paraId="4D65D82B">
            <w:pPr>
              <w:spacing w:line="440" w:lineRule="exact"/>
              <w:jc w:val="center"/>
              <w:rPr>
                <w:sz w:val="18"/>
                <w:szCs w:val="18"/>
                <w:lang w:val="en-US"/>
              </w:rPr>
            </w:pPr>
            <w:r>
              <w:rPr>
                <w:sz w:val="18"/>
                <w:szCs w:val="18"/>
                <w:lang w:val="en-US"/>
              </w:rPr>
              <w:t>14571.30</w:t>
            </w:r>
          </w:p>
        </w:tc>
        <w:tc>
          <w:tcPr>
            <w:tcW w:w="1276" w:type="dxa"/>
            <w:vAlign w:val="center"/>
          </w:tcPr>
          <w:p w14:paraId="039232C0">
            <w:pPr>
              <w:spacing w:line="440" w:lineRule="exact"/>
              <w:jc w:val="center"/>
              <w:rPr>
                <w:sz w:val="18"/>
                <w:szCs w:val="18"/>
                <w:lang w:val="en-US"/>
              </w:rPr>
            </w:pPr>
            <w:r>
              <w:rPr>
                <w:sz w:val="18"/>
                <w:szCs w:val="18"/>
                <w:lang w:val="en-US"/>
              </w:rPr>
              <w:t>98.62</w:t>
            </w:r>
          </w:p>
        </w:tc>
        <w:tc>
          <w:tcPr>
            <w:tcW w:w="1073" w:type="dxa"/>
            <w:vAlign w:val="center"/>
          </w:tcPr>
          <w:p w14:paraId="7D8D9EAC">
            <w:pPr>
              <w:spacing w:line="440" w:lineRule="exact"/>
              <w:jc w:val="center"/>
              <w:rPr>
                <w:sz w:val="18"/>
                <w:szCs w:val="18"/>
                <w:lang w:val="en-US"/>
              </w:rPr>
            </w:pPr>
            <w:r>
              <w:rPr>
                <w:sz w:val="18"/>
                <w:szCs w:val="18"/>
                <w:lang w:val="en-US"/>
              </w:rPr>
              <w:t>是</w:t>
            </w:r>
          </w:p>
        </w:tc>
      </w:tr>
      <w:tr w14:paraId="387DC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4C470A17">
            <w:pPr>
              <w:spacing w:line="440" w:lineRule="exact"/>
              <w:jc w:val="center"/>
              <w:rPr>
                <w:sz w:val="18"/>
                <w:szCs w:val="18"/>
                <w:lang w:val="en-US"/>
              </w:rPr>
            </w:pPr>
            <w:r>
              <w:rPr>
                <w:sz w:val="18"/>
                <w:szCs w:val="18"/>
                <w:lang w:val="en-US"/>
              </w:rPr>
              <w:t>未命名</w:t>
            </w:r>
          </w:p>
        </w:tc>
        <w:tc>
          <w:tcPr>
            <w:tcW w:w="1418" w:type="dxa"/>
            <w:vAlign w:val="center"/>
          </w:tcPr>
          <w:p w14:paraId="04362160">
            <w:pPr>
              <w:spacing w:line="440" w:lineRule="exact"/>
              <w:jc w:val="center"/>
              <w:rPr>
                <w:sz w:val="18"/>
                <w:szCs w:val="18"/>
                <w:lang w:val="en-US"/>
              </w:rPr>
            </w:pPr>
            <w:r>
              <w:rPr>
                <w:sz w:val="18"/>
                <w:szCs w:val="18"/>
                <w:lang w:val="en-US"/>
              </w:rPr>
              <w:t>453.81</w:t>
            </w:r>
          </w:p>
        </w:tc>
        <w:tc>
          <w:tcPr>
            <w:tcW w:w="3260" w:type="dxa"/>
            <w:vAlign w:val="center"/>
          </w:tcPr>
          <w:p w14:paraId="64FC72C4">
            <w:pPr>
              <w:spacing w:line="440" w:lineRule="exact"/>
              <w:jc w:val="center"/>
              <w:rPr>
                <w:sz w:val="18"/>
                <w:szCs w:val="18"/>
                <w:lang w:val="en-US"/>
              </w:rPr>
            </w:pPr>
            <w:r>
              <w:rPr>
                <w:sz w:val="18"/>
                <w:szCs w:val="18"/>
                <w:lang w:val="en-US"/>
              </w:rPr>
              <w:t>452.93</w:t>
            </w:r>
          </w:p>
        </w:tc>
        <w:tc>
          <w:tcPr>
            <w:tcW w:w="1276" w:type="dxa"/>
            <w:vAlign w:val="center"/>
          </w:tcPr>
          <w:p w14:paraId="5B8C0353">
            <w:pPr>
              <w:spacing w:line="440" w:lineRule="exact"/>
              <w:jc w:val="center"/>
              <w:rPr>
                <w:sz w:val="18"/>
                <w:szCs w:val="18"/>
                <w:lang w:val="en-US"/>
              </w:rPr>
            </w:pPr>
            <w:r>
              <w:rPr>
                <w:sz w:val="18"/>
                <w:szCs w:val="18"/>
                <w:lang w:val="en-US"/>
              </w:rPr>
              <w:t>99.81</w:t>
            </w:r>
          </w:p>
        </w:tc>
        <w:tc>
          <w:tcPr>
            <w:tcW w:w="1073" w:type="dxa"/>
            <w:vAlign w:val="center"/>
          </w:tcPr>
          <w:p w14:paraId="4B0A9974">
            <w:pPr>
              <w:spacing w:line="440" w:lineRule="exact"/>
              <w:jc w:val="center"/>
              <w:rPr>
                <w:sz w:val="18"/>
                <w:szCs w:val="18"/>
                <w:lang w:val="en-US"/>
              </w:rPr>
            </w:pPr>
            <w:r>
              <w:rPr>
                <w:sz w:val="18"/>
                <w:szCs w:val="18"/>
                <w:lang w:val="en-US"/>
              </w:rPr>
              <w:t>是</w:t>
            </w:r>
          </w:p>
        </w:tc>
      </w:tr>
      <w:bookmarkEnd w:id="135"/>
    </w:tbl>
    <w:p w14:paraId="3425839B">
      <w:pPr>
        <w:rPr>
          <w:sz w:val="18"/>
          <w:szCs w:val="18"/>
          <w:lang w:val="en-US"/>
        </w:rPr>
      </w:pPr>
      <w:r>
        <w:rPr>
          <w:rFonts w:hint="eastAsia"/>
          <w:sz w:val="18"/>
          <w:szCs w:val="18"/>
          <w:lang w:val="en-US"/>
        </w:rPr>
        <w:t>说明：达标比例＝（室内外风压差大于</w:t>
      </w:r>
      <w:r>
        <w:rPr>
          <w:sz w:val="18"/>
          <w:szCs w:val="18"/>
          <w:lang w:val="en-US"/>
        </w:rPr>
        <w:t>0.5Pa</w:t>
      </w:r>
      <w:r>
        <w:rPr>
          <w:rFonts w:hint="eastAsia"/>
          <w:sz w:val="18"/>
          <w:szCs w:val="18"/>
          <w:lang w:val="en-US"/>
        </w:rPr>
        <w:t>的建筑表面积</w:t>
      </w:r>
      <w:r>
        <w:rPr>
          <w:sz w:val="18"/>
          <w:szCs w:val="18"/>
          <w:lang w:val="en-US"/>
        </w:rPr>
        <w:t>/</w:t>
      </w:r>
      <w:r>
        <w:rPr>
          <w:rFonts w:hint="eastAsia"/>
          <w:sz w:val="18"/>
          <w:szCs w:val="18"/>
          <w:lang w:val="en-US"/>
        </w:rPr>
        <w:t>建筑表面积）</w:t>
      </w:r>
      <w:r>
        <w:rPr>
          <w:sz w:val="18"/>
          <w:szCs w:val="18"/>
          <w:lang w:val="en-US"/>
        </w:rPr>
        <w:t>*100</w:t>
      </w:r>
      <w:r>
        <w:rPr>
          <w:rFonts w:hint="eastAsia"/>
          <w:sz w:val="18"/>
          <w:szCs w:val="18"/>
          <w:lang w:val="en-US"/>
        </w:rPr>
        <w:t>％</w:t>
      </w:r>
    </w:p>
    <w:p w14:paraId="4C1848D9">
      <w:r>
        <w:rPr>
          <w:rFonts w:hint="eastAsia"/>
        </w:rPr>
        <w:t xml:space="preserve"> </w:t>
      </w:r>
    </w:p>
    <w:p w14:paraId="667A6971">
      <w:pPr>
        <w:ind w:firstLine="420"/>
        <w:rPr>
          <w:lang w:val="en-US"/>
        </w:rPr>
      </w:pPr>
      <w:bookmarkStart w:id="136" w:name="建筑室内外风压差达标判定结论"/>
      <w:r>
        <w:rPr>
          <w:rFonts w:hint="eastAsia"/>
          <w:lang w:val="en-US"/>
        </w:rPr>
        <w:t>结论：本项目中所有建筑均满足“50%以上可开启外窗室内外表面的风压差大于0.5Pa”的要求。中所有建筑均</w:t>
      </w:r>
      <w:r>
        <w:rPr>
          <w:rFonts w:hint="eastAsia"/>
          <w:b/>
          <w:color w:val="0000FF"/>
          <w:lang w:val="en-US"/>
        </w:rPr>
        <w:t>满足</w:t>
      </w:r>
      <w:r>
        <w:rPr>
          <w:rFonts w:hint="eastAsia"/>
          <w:lang w:val="en-US"/>
        </w:rPr>
        <w:t>“</w:t>
      </w:r>
      <w:r>
        <w:rPr>
          <w:lang w:val="en-US"/>
        </w:rPr>
        <w:t>50%</w:t>
      </w:r>
      <w:r>
        <w:rPr>
          <w:rFonts w:hint="eastAsia"/>
          <w:lang w:val="en-US"/>
        </w:rPr>
        <w:t>以上可开启外窗室内外表面的风压差大于</w:t>
      </w:r>
      <w:r>
        <w:rPr>
          <w:lang w:val="en-US"/>
        </w:rPr>
        <w:t>0.5Pa</w:t>
      </w:r>
      <w:r>
        <w:rPr>
          <w:rFonts w:hint="eastAsia"/>
          <w:lang w:val="en-US"/>
        </w:rPr>
        <w:t>”的要求。</w:t>
      </w:r>
      <w:bookmarkEnd w:id="136"/>
      <w:r>
        <w:rPr>
          <w:rFonts w:hint="eastAsia"/>
          <w:lang w:val="en-US"/>
        </w:rPr>
        <w:t xml:space="preserve"> </w:t>
      </w:r>
    </w:p>
    <w:p w14:paraId="11B67E8B">
      <w:pPr>
        <w:pStyle w:val="4"/>
      </w:pPr>
      <w:bookmarkStart w:id="137" w:name="_Toc28730"/>
      <w:r>
        <w:rPr>
          <w:rFonts w:hint="eastAsia"/>
        </w:rPr>
        <w:t>过渡季工况</w:t>
      </w:r>
      <w:bookmarkEnd w:id="137"/>
    </w:p>
    <w:p w14:paraId="4CFB7C8D">
      <w:pPr>
        <w:ind w:firstLine="420"/>
      </w:pPr>
      <w:r>
        <w:rPr>
          <w:rFonts w:hint="eastAsia"/>
          <w:lang w:val="en-US"/>
        </w:rPr>
        <w:t>本项目过渡季工况的入口边界风速为3.00</w:t>
      </w:r>
      <w:bookmarkEnd w:id="3"/>
      <w:r>
        <w:rPr>
          <w:rFonts w:hint="eastAsia"/>
          <w:lang w:val="en-US"/>
        </w:rPr>
        <w:t>m/s，风向为</w:t>
      </w:r>
      <w:r>
        <w:t>E</w:t>
      </w:r>
      <w:bookmarkEnd w:id="4"/>
      <w:r>
        <w:rPr>
          <w:rFonts w:hint="eastAsia"/>
          <w:lang w:val="en-US"/>
        </w:rPr>
        <w:t>。</w:t>
      </w:r>
    </w:p>
    <w:p w14:paraId="7EB7A431">
      <w:pPr>
        <w:ind w:firstLine="420"/>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典型风速和风向条件下，场地内人活动区不出现涡旋或无风区。通过该项标准指导设计确保合理的建筑布局，在过渡季</w:t>
      </w:r>
      <w:bookmarkEnd w:id="6"/>
      <w:r>
        <w:rPr>
          <w:rFonts w:hint="eastAsia"/>
          <w:lang w:val="en-US"/>
        </w:rPr>
        <w:t>形成有效的巷道风，优化街区自然通风环境，避免过渡季</w:t>
      </w:r>
      <w:bookmarkEnd w:id="7"/>
      <w:r>
        <w:rPr>
          <w:rFonts w:hint="eastAsia"/>
          <w:lang w:val="en-US"/>
        </w:rPr>
        <w:t>人活动区有明显的气流旋涡和无风区，从而造成闷热不适感。因此本项目需要分析人活动区的风速，并作出判断。</w:t>
      </w:r>
    </w:p>
    <w:p w14:paraId="69921794">
      <w:pPr>
        <w:ind w:firstLine="420"/>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091AAC43">
      <w:pPr>
        <w:ind w:firstLine="420"/>
      </w:pPr>
      <w:r>
        <w:rPr>
          <w:rFonts w:hint="eastAsia"/>
          <w:lang w:val="en-US"/>
        </w:rPr>
        <w:t>注：无风区的定义参考《</w:t>
      </w:r>
      <w:r>
        <w:rPr>
          <w:rFonts w:hint="eastAsia"/>
        </w:rPr>
        <w:t>建筑设计资料集</w:t>
      </w:r>
      <w:r>
        <w:rPr>
          <w:rFonts w:hint="eastAsia"/>
          <w:lang w:val="en-US"/>
        </w:rPr>
        <w:t>》第一分册，第二版。</w:t>
      </w:r>
    </w:p>
    <w:p w14:paraId="4369AB21">
      <w:pPr>
        <w:pStyle w:val="5"/>
      </w:pPr>
      <w:r>
        <w:rPr>
          <w:rFonts w:hint="eastAsia"/>
        </w:rPr>
        <w:t>人活动区域无风区计算分析</w:t>
      </w:r>
      <w:bookmarkEnd w:id="8"/>
    </w:p>
    <w:p w14:paraId="0B2EC541">
      <w:pPr>
        <w:ind w:firstLine="420"/>
      </w:pPr>
      <w:r>
        <w:rPr>
          <w:rFonts w:hint="eastAsia"/>
        </w:rPr>
        <w:t>（本项目未划分人活动区域）</w:t>
      </w:r>
    </w:p>
    <w:bookmarkEnd w:id="9"/>
    <w:p w14:paraId="40F9418E">
      <w:pPr>
        <w:pStyle w:val="5"/>
      </w:pPr>
      <w:r>
        <w:rPr>
          <w:rFonts w:hint="eastAsia"/>
        </w:rPr>
        <w:t>人活动区域旋涡区分析</w:t>
      </w:r>
      <w:bookmarkEnd w:id="10"/>
    </w:p>
    <w:p w14:paraId="07343A25">
      <w:pPr>
        <w:ind w:firstLine="420"/>
      </w:pPr>
      <w:r>
        <w:rPr>
          <w:rFonts w:hint="eastAsia"/>
        </w:rPr>
        <w:t>（本项目未划分人活动区域）</w:t>
      </w:r>
    </w:p>
    <w:bookmarkEnd w:id="11"/>
    <w:p w14:paraId="12851A40">
      <w:pPr>
        <w:pStyle w:val="5"/>
      </w:pPr>
      <w:r>
        <w:rPr>
          <w:rFonts w:hint="eastAsia"/>
        </w:rPr>
        <w:t>人活动区域旋涡区/无风区达标</w:t>
      </w:r>
      <w:bookmarkEnd w:id="40"/>
      <w:r>
        <w:rPr>
          <w:rFonts w:hint="eastAsia"/>
        </w:rPr>
        <w:t>结果汇总</w:t>
      </w:r>
    </w:p>
    <w:p w14:paraId="7202EAAE">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过渡季</w:t>
      </w:r>
      <w:bookmarkEnd w:id="13"/>
      <w:r>
        <w:rPr>
          <w:rFonts w:hint="eastAsia" w:ascii="微软雅黑" w:hAnsi="微软雅黑" w:eastAsia="微软雅黑"/>
          <w:sz w:val="18"/>
          <w:szCs w:val="18"/>
        </w:rPr>
        <w:t>无风区/旋涡区达标分析汇总</w:t>
      </w:r>
    </w:p>
    <w:tbl>
      <w:tblPr>
        <w:tblStyle w:val="28"/>
        <w:tblW w:w="8363" w:type="dxa"/>
        <w:tblInd w:w="108" w:type="dxa"/>
        <w:tblLayout w:type="autofit"/>
        <w:tblCellMar>
          <w:top w:w="0" w:type="dxa"/>
          <w:left w:w="108" w:type="dxa"/>
          <w:bottom w:w="0" w:type="dxa"/>
          <w:right w:w="108" w:type="dxa"/>
        </w:tblCellMar>
      </w:tblPr>
      <w:tblGrid>
        <w:gridCol w:w="1843"/>
        <w:gridCol w:w="2126"/>
        <w:gridCol w:w="2693"/>
        <w:gridCol w:w="1701"/>
      </w:tblGrid>
      <w:tr w14:paraId="1E8B00C4">
        <w:tblPrEx>
          <w:tblCellMar>
            <w:top w:w="0" w:type="dxa"/>
            <w:left w:w="108" w:type="dxa"/>
            <w:bottom w:w="0" w:type="dxa"/>
            <w:right w:w="108" w:type="dxa"/>
          </w:tblCellMar>
        </w:tblPrEx>
        <w:trPr>
          <w:trHeight w:val="270"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27388">
            <w:pPr>
              <w:spacing w:line="400" w:lineRule="exact"/>
              <w:jc w:val="center"/>
              <w:rPr>
                <w:rFonts w:cs="宋体"/>
                <w:b/>
                <w:color w:val="000000"/>
                <w:sz w:val="18"/>
                <w:szCs w:val="18"/>
                <w:lang w:val="en-US"/>
              </w:rPr>
            </w:pPr>
            <w:r>
              <w:rPr>
                <w:rFonts w:hint="eastAsia" w:cs="宋体"/>
                <w:b/>
                <w:color w:val="000000"/>
                <w:sz w:val="18"/>
                <w:szCs w:val="18"/>
                <w:lang w:val="en-US"/>
              </w:rPr>
              <w:t>评价量</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1F938E07">
            <w:pPr>
              <w:spacing w:line="400" w:lineRule="exact"/>
              <w:jc w:val="center"/>
              <w:rPr>
                <w:rFonts w:cs="宋体"/>
                <w:b/>
                <w:color w:val="000000"/>
                <w:sz w:val="18"/>
                <w:szCs w:val="18"/>
                <w:lang w:val="en-US"/>
              </w:rPr>
            </w:pPr>
            <w:r>
              <w:rPr>
                <w:rFonts w:hint="eastAsia" w:cs="宋体"/>
                <w:b/>
                <w:color w:val="000000"/>
                <w:sz w:val="18"/>
                <w:szCs w:val="18"/>
                <w:lang w:val="en-US"/>
              </w:rPr>
              <w:t>标准要求</w:t>
            </w:r>
          </w:p>
        </w:tc>
        <w:tc>
          <w:tcPr>
            <w:tcW w:w="2693" w:type="dxa"/>
            <w:tcBorders>
              <w:top w:val="single" w:color="auto" w:sz="4" w:space="0"/>
              <w:left w:val="nil"/>
              <w:bottom w:val="single" w:color="auto" w:sz="4" w:space="0"/>
              <w:right w:val="single" w:color="auto" w:sz="4" w:space="0"/>
            </w:tcBorders>
            <w:shd w:val="clear" w:color="auto" w:fill="auto"/>
            <w:noWrap/>
            <w:vAlign w:val="center"/>
          </w:tcPr>
          <w:p w14:paraId="08E64EF1">
            <w:pPr>
              <w:spacing w:line="40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4195A55">
            <w:pPr>
              <w:spacing w:line="400" w:lineRule="exact"/>
              <w:jc w:val="center"/>
              <w:rPr>
                <w:rFonts w:cs="宋体"/>
                <w:b/>
                <w:color w:val="000000"/>
                <w:sz w:val="18"/>
                <w:szCs w:val="18"/>
                <w:lang w:val="en-US"/>
              </w:rPr>
            </w:pPr>
            <w:r>
              <w:rPr>
                <w:rFonts w:hint="eastAsia" w:cs="宋体"/>
                <w:b/>
                <w:color w:val="000000"/>
                <w:sz w:val="18"/>
                <w:szCs w:val="18"/>
                <w:lang w:val="en-US"/>
              </w:rPr>
              <w:t>达标判断</w:t>
            </w:r>
          </w:p>
        </w:tc>
      </w:tr>
      <w:tr w14:paraId="3DA74EDD">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7D1576EA">
            <w:pPr>
              <w:spacing w:line="400" w:lineRule="exact"/>
              <w:jc w:val="center"/>
              <w:rPr>
                <w:rFonts w:cs="宋体"/>
                <w:sz w:val="18"/>
                <w:szCs w:val="18"/>
              </w:rPr>
            </w:pPr>
            <w:r>
              <w:rPr>
                <w:rFonts w:hint="eastAsia" w:cs="宋体"/>
                <w:sz w:val="18"/>
                <w:szCs w:val="18"/>
              </w:rPr>
              <w:t>无风区</w:t>
            </w:r>
          </w:p>
        </w:tc>
        <w:tc>
          <w:tcPr>
            <w:tcW w:w="2126" w:type="dxa"/>
            <w:tcBorders>
              <w:top w:val="nil"/>
              <w:left w:val="nil"/>
              <w:bottom w:val="single" w:color="auto" w:sz="4" w:space="0"/>
              <w:right w:val="single" w:color="auto" w:sz="4" w:space="0"/>
            </w:tcBorders>
            <w:shd w:val="clear" w:color="auto" w:fill="auto"/>
            <w:noWrap/>
            <w:vAlign w:val="center"/>
          </w:tcPr>
          <w:p w14:paraId="6D9B8860">
            <w:pPr>
              <w:spacing w:line="400" w:lineRule="exact"/>
              <w:jc w:val="center"/>
              <w:rPr>
                <w:rFonts w:cs="宋体"/>
                <w:sz w:val="18"/>
                <w:szCs w:val="18"/>
              </w:rPr>
            </w:pPr>
            <w:r>
              <w:rPr>
                <w:rFonts w:hint="eastAsia" w:cs="宋体"/>
                <w:sz w:val="18"/>
                <w:szCs w:val="18"/>
              </w:rPr>
              <w:t>无风区面积为0</w:t>
            </w:r>
          </w:p>
        </w:tc>
        <w:tc>
          <w:tcPr>
            <w:tcW w:w="2693" w:type="dxa"/>
            <w:tcBorders>
              <w:top w:val="nil"/>
              <w:left w:val="nil"/>
              <w:bottom w:val="single" w:color="auto" w:sz="4" w:space="0"/>
              <w:right w:val="single" w:color="auto" w:sz="4" w:space="0"/>
            </w:tcBorders>
            <w:shd w:val="clear" w:color="auto" w:fill="auto"/>
            <w:noWrap/>
            <w:vAlign w:val="center"/>
          </w:tcPr>
          <w:p w14:paraId="0B4D72ED">
            <w:pPr>
              <w:spacing w:line="400" w:lineRule="exact"/>
              <w:jc w:val="center"/>
              <w:rPr>
                <w:rFonts w:cs="宋体"/>
                <w:color w:val="000000"/>
                <w:sz w:val="18"/>
                <w:szCs w:val="18"/>
                <w:lang w:val="en-US"/>
              </w:rPr>
            </w:pPr>
            <w:r>
              <w:rPr>
                <w:rFonts w:hint="eastAsia" w:cs="宋体"/>
                <w:color w:val="000000"/>
                <w:sz w:val="18"/>
                <w:szCs w:val="18"/>
                <w:lang w:val="en-US"/>
              </w:rPr>
              <w:t>否</w:t>
            </w:r>
          </w:p>
        </w:tc>
        <w:tc>
          <w:tcPr>
            <w:tcW w:w="1701" w:type="dxa"/>
            <w:tcBorders>
              <w:top w:val="nil"/>
              <w:left w:val="nil"/>
              <w:bottom w:val="single" w:color="auto" w:sz="4" w:space="0"/>
              <w:right w:val="single" w:color="auto" w:sz="4" w:space="0"/>
            </w:tcBorders>
            <w:shd w:val="clear" w:color="auto" w:fill="auto"/>
            <w:noWrap/>
            <w:vAlign w:val="center"/>
          </w:tcPr>
          <w:p w14:paraId="091B3EF8">
            <w:pPr>
              <w:spacing w:line="400" w:lineRule="exact"/>
              <w:jc w:val="center"/>
              <w:rPr>
                <w:rFonts w:cs="宋体"/>
                <w:color w:val="000000"/>
                <w:sz w:val="18"/>
                <w:szCs w:val="18"/>
                <w:lang w:val="en-US"/>
              </w:rPr>
            </w:pPr>
            <w:r>
              <w:rPr>
                <w:rFonts w:hint="eastAsia" w:cs="宋体"/>
                <w:color w:val="000000"/>
                <w:sz w:val="18"/>
                <w:szCs w:val="18"/>
                <w:lang w:val="en-US"/>
              </w:rPr>
              <w:t>是</w:t>
            </w:r>
            <w:bookmarkEnd w:id="14"/>
          </w:p>
        </w:tc>
      </w:tr>
      <w:tr w14:paraId="37B73F7C">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5545E111">
            <w:pPr>
              <w:spacing w:line="400" w:lineRule="exact"/>
              <w:jc w:val="center"/>
              <w:rPr>
                <w:rFonts w:cs="宋体"/>
                <w:sz w:val="18"/>
                <w:szCs w:val="18"/>
              </w:rPr>
            </w:pPr>
            <w:r>
              <w:rPr>
                <w:rFonts w:hint="eastAsia" w:cs="宋体"/>
                <w:sz w:val="18"/>
                <w:szCs w:val="18"/>
              </w:rPr>
              <w:t>旋涡区</w:t>
            </w:r>
          </w:p>
        </w:tc>
        <w:tc>
          <w:tcPr>
            <w:tcW w:w="2126" w:type="dxa"/>
            <w:tcBorders>
              <w:top w:val="nil"/>
              <w:left w:val="nil"/>
              <w:bottom w:val="single" w:color="auto" w:sz="4" w:space="0"/>
              <w:right w:val="single" w:color="auto" w:sz="4" w:space="0"/>
            </w:tcBorders>
            <w:shd w:val="clear" w:color="auto" w:fill="auto"/>
            <w:noWrap/>
            <w:vAlign w:val="center"/>
          </w:tcPr>
          <w:p w14:paraId="63C3B057">
            <w:pPr>
              <w:spacing w:line="400" w:lineRule="exact"/>
              <w:jc w:val="center"/>
              <w:rPr>
                <w:rFonts w:cs="宋体"/>
                <w:sz w:val="18"/>
                <w:szCs w:val="18"/>
              </w:rPr>
            </w:pPr>
            <w:r>
              <w:rPr>
                <w:rFonts w:hint="eastAsia" w:cs="宋体"/>
                <w:sz w:val="18"/>
                <w:szCs w:val="18"/>
              </w:rPr>
              <w:t>旋涡区面积为0</w:t>
            </w:r>
          </w:p>
        </w:tc>
        <w:tc>
          <w:tcPr>
            <w:tcW w:w="2693" w:type="dxa"/>
            <w:tcBorders>
              <w:top w:val="nil"/>
              <w:left w:val="nil"/>
              <w:bottom w:val="single" w:color="auto" w:sz="4" w:space="0"/>
              <w:right w:val="single" w:color="auto" w:sz="4" w:space="0"/>
            </w:tcBorders>
            <w:shd w:val="clear" w:color="auto" w:fill="auto"/>
            <w:noWrap/>
            <w:vAlign w:val="center"/>
          </w:tcPr>
          <w:p w14:paraId="6EAF408E">
            <w:pPr>
              <w:spacing w:line="400" w:lineRule="exact"/>
              <w:jc w:val="center"/>
              <w:rPr>
                <w:rFonts w:cs="宋体"/>
                <w:color w:val="000000"/>
                <w:sz w:val="18"/>
                <w:szCs w:val="18"/>
                <w:lang w:val="en-US"/>
              </w:rPr>
            </w:pPr>
            <w:r>
              <w:rPr>
                <w:rFonts w:cs="宋体"/>
                <w:color w:val="000000"/>
                <w:sz w:val="18"/>
                <w:szCs w:val="18"/>
                <w:lang w:val="en-US"/>
              </w:rPr>
              <w:t>否</w:t>
            </w:r>
            <w:bookmarkEnd w:id="16"/>
          </w:p>
        </w:tc>
        <w:tc>
          <w:tcPr>
            <w:tcW w:w="1701" w:type="dxa"/>
            <w:tcBorders>
              <w:top w:val="nil"/>
              <w:left w:val="nil"/>
              <w:bottom w:val="single" w:color="auto" w:sz="4" w:space="0"/>
              <w:right w:val="single" w:color="auto" w:sz="4" w:space="0"/>
            </w:tcBorders>
            <w:shd w:val="clear" w:color="auto" w:fill="auto"/>
            <w:noWrap/>
            <w:vAlign w:val="center"/>
          </w:tcPr>
          <w:p w14:paraId="07104F94">
            <w:pPr>
              <w:spacing w:line="400" w:lineRule="exact"/>
              <w:jc w:val="center"/>
              <w:rPr>
                <w:rFonts w:cs="宋体"/>
                <w:color w:val="000000"/>
                <w:sz w:val="18"/>
                <w:szCs w:val="18"/>
                <w:lang w:val="en-US"/>
              </w:rPr>
            </w:pPr>
            <w:r>
              <w:rPr>
                <w:rFonts w:cs="宋体"/>
                <w:color w:val="000000"/>
                <w:sz w:val="18"/>
                <w:szCs w:val="18"/>
                <w:lang w:val="en-US"/>
              </w:rPr>
              <w:t>是</w:t>
            </w:r>
          </w:p>
        </w:tc>
      </w:tr>
    </w:tbl>
    <w:p w14:paraId="0CDD14F2">
      <w:pPr>
        <w:pStyle w:val="5"/>
      </w:pPr>
      <w:r>
        <w:rPr>
          <w:rFonts w:hint="eastAsia"/>
        </w:rPr>
        <w:t>外窗内外表面风压</w:t>
      </w:r>
      <w:bookmarkEnd w:id="17"/>
      <w:r>
        <w:rPr>
          <w:rFonts w:hint="eastAsia"/>
        </w:rPr>
        <w:t>差达标分析</w:t>
      </w:r>
      <w:bookmarkEnd w:id="19"/>
    </w:p>
    <w:p w14:paraId="0F1495C7">
      <w:pPr>
        <w:ind w:firstLine="420"/>
      </w:pPr>
      <w:r>
        <w:rPr>
          <w:rFonts w:hint="eastAsia"/>
          <w:lang w:val="en-US"/>
        </w:rPr>
        <w:t>分析《绿色建筑评价标准》，过渡季为充分利用自然通风获得良好的室内风环境，要求50%以上可开启外窗室内外表面的风压差大于0.5Pa。</w:t>
      </w:r>
    </w:p>
    <w:p w14:paraId="32179D21">
      <w:pPr>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6AC6BEF6">
      <w:pPr>
        <w:ind w:firstLine="420"/>
      </w:pPr>
      <w:r>
        <w:rPr>
          <w:rFonts w:hint="eastAsia"/>
          <w:lang w:val="en-US"/>
        </w:rPr>
        <w:t>下图为夏季工况下，建筑迎风面和背风面对应外窗表面的风压分布图，结合图例数值可以清晰看到外窗表面风压小于0.5Pa的外窗区域。</w:t>
      </w:r>
    </w:p>
    <w:bookmarkEnd w:id="20"/>
    <w:p w14:paraId="705E69E8">
      <w:pPr>
        <w:pStyle w:val="3"/>
        <w:ind w:firstLine="0" w:firstLineChars="0"/>
        <w:jc w:val="center"/>
        <w:rPr>
          <w:rFonts w:ascii="微软雅黑" w:hAnsi="微软雅黑" w:eastAsia="微软雅黑"/>
        </w:rPr>
      </w:pPr>
      <w:r>
        <w:drawing>
          <wp:inline distT="0" distB="0" distL="0" distR="0">
            <wp:extent cx="5667375" cy="32861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40"/>
                    <a:stretch>
                      <a:fillRect/>
                    </a:stretch>
                  </pic:blipFill>
                  <pic:spPr>
                    <a:xfrm>
                      <a:off x="0" y="0"/>
                      <a:ext cx="5667375" cy="3286125"/>
                    </a:xfrm>
                    <a:prstGeom prst="rect">
                      <a:avLst/>
                    </a:prstGeom>
                  </pic:spPr>
                </pic:pic>
              </a:graphicData>
            </a:graphic>
          </wp:inline>
        </w:drawing>
      </w:r>
    </w:p>
    <w:p w14:paraId="16D88E41">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建筑迎风面外窗表面风压云图-过渡季</w:t>
      </w:r>
      <w:bookmarkEnd w:id="22"/>
    </w:p>
    <w:bookmarkEnd w:id="23"/>
    <w:p w14:paraId="553CF596">
      <w:pPr>
        <w:jc w:val="center"/>
        <w:rPr>
          <w:rFonts w:ascii="微软雅黑" w:hAnsi="微软雅黑" w:eastAsia="微软雅黑"/>
        </w:rPr>
      </w:pPr>
      <w:r>
        <w:drawing>
          <wp:inline distT="0" distB="0" distL="0" distR="0">
            <wp:extent cx="5667375" cy="3295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41"/>
                    <a:stretch>
                      <a:fillRect/>
                    </a:stretch>
                  </pic:blipFill>
                  <pic:spPr>
                    <a:xfrm>
                      <a:off x="0" y="0"/>
                      <a:ext cx="5667375" cy="3295650"/>
                    </a:xfrm>
                    <a:prstGeom prst="rect">
                      <a:avLst/>
                    </a:prstGeom>
                  </pic:spPr>
                </pic:pic>
              </a:graphicData>
            </a:graphic>
          </wp:inline>
        </w:drawing>
      </w:r>
    </w:p>
    <w:p w14:paraId="02EA678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建筑背风面外窗表面风压云图-过渡季 </w:t>
      </w:r>
    </w:p>
    <w:p w14:paraId="1D81777B">
      <w:pPr>
        <w:ind w:firstLine="420"/>
      </w:pPr>
      <w:r>
        <w:rPr>
          <w:rFonts w:hint="eastAsia"/>
        </w:rPr>
        <w:t>下表为依据上图提取的外窗外表面平均风压数据，相当于外窗室内外表面风压差数据，并依据标准做出达标判断：</w:t>
      </w:r>
    </w:p>
    <w:p w14:paraId="3C35206A">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559"/>
        <w:gridCol w:w="3544"/>
        <w:gridCol w:w="1116"/>
        <w:gridCol w:w="1011"/>
      </w:tblGrid>
      <w:tr w14:paraId="0C90E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0C9C3298">
            <w:pPr>
              <w:jc w:val="center"/>
              <w:rPr>
                <w:sz w:val="18"/>
                <w:szCs w:val="18"/>
                <w:lang w:val="en-US"/>
              </w:rPr>
            </w:pPr>
            <w:r>
              <w:rPr>
                <w:rFonts w:hint="eastAsia"/>
                <w:sz w:val="18"/>
                <w:szCs w:val="18"/>
                <w:lang w:val="en-US"/>
              </w:rPr>
              <w:t>建筑编号</w:t>
            </w:r>
          </w:p>
        </w:tc>
        <w:tc>
          <w:tcPr>
            <w:tcW w:w="1559" w:type="dxa"/>
            <w:shd w:val="clear" w:color="auto" w:fill="E6E6E6"/>
            <w:vAlign w:val="center"/>
          </w:tcPr>
          <w:p w14:paraId="27D8F061">
            <w:pPr>
              <w:jc w:val="center"/>
              <w:rPr>
                <w:sz w:val="18"/>
                <w:szCs w:val="18"/>
                <w:lang w:val="en-US"/>
              </w:rPr>
            </w:pPr>
            <w:r>
              <w:rPr>
                <w:rFonts w:hint="eastAsia"/>
                <w:sz w:val="18"/>
                <w:szCs w:val="18"/>
                <w:lang w:val="en-US"/>
              </w:rPr>
              <w:t>可开启外窗总数</w:t>
            </w:r>
          </w:p>
        </w:tc>
        <w:tc>
          <w:tcPr>
            <w:tcW w:w="3544" w:type="dxa"/>
            <w:shd w:val="clear" w:color="auto" w:fill="E6E6E6"/>
            <w:vAlign w:val="center"/>
          </w:tcPr>
          <w:p w14:paraId="721040A8">
            <w:pPr>
              <w:jc w:val="center"/>
              <w:rPr>
                <w:sz w:val="18"/>
                <w:szCs w:val="18"/>
                <w:lang w:val="en-US"/>
              </w:rPr>
            </w:pPr>
            <w:r>
              <w:rPr>
                <w:rFonts w:hint="eastAsia"/>
                <w:sz w:val="18"/>
                <w:szCs w:val="18"/>
                <w:lang w:val="en-US"/>
              </w:rPr>
              <w:t>室内外风压差大于0.5Pa的外窗总数</w:t>
            </w:r>
          </w:p>
        </w:tc>
        <w:tc>
          <w:tcPr>
            <w:tcW w:w="1116" w:type="dxa"/>
            <w:shd w:val="clear" w:color="auto" w:fill="E6E6E6"/>
            <w:vAlign w:val="center"/>
          </w:tcPr>
          <w:p w14:paraId="38C6DA82">
            <w:pPr>
              <w:jc w:val="center"/>
              <w:rPr>
                <w:sz w:val="18"/>
                <w:szCs w:val="18"/>
                <w:lang w:val="en-US"/>
              </w:rPr>
            </w:pPr>
            <w:r>
              <w:rPr>
                <w:rFonts w:hint="eastAsia"/>
                <w:sz w:val="18"/>
                <w:szCs w:val="18"/>
                <w:lang w:val="en-US"/>
              </w:rPr>
              <w:t>达标比例（%）</w:t>
            </w:r>
          </w:p>
        </w:tc>
        <w:tc>
          <w:tcPr>
            <w:tcW w:w="1011" w:type="dxa"/>
            <w:shd w:val="clear" w:color="auto" w:fill="E6E6E6"/>
            <w:vAlign w:val="center"/>
          </w:tcPr>
          <w:p w14:paraId="7A20BC8A">
            <w:pPr>
              <w:jc w:val="center"/>
              <w:rPr>
                <w:sz w:val="18"/>
                <w:szCs w:val="18"/>
                <w:lang w:val="en-US"/>
              </w:rPr>
            </w:pPr>
            <w:r>
              <w:rPr>
                <w:rFonts w:hint="eastAsia"/>
                <w:sz w:val="18"/>
                <w:szCs w:val="18"/>
                <w:lang w:val="en-US"/>
              </w:rPr>
              <w:t>是否达标</w:t>
            </w:r>
          </w:p>
        </w:tc>
      </w:tr>
      <w:tr w14:paraId="6CF4D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48339319">
            <w:pPr>
              <w:jc w:val="center"/>
              <w:rPr>
                <w:sz w:val="18"/>
                <w:szCs w:val="18"/>
                <w:lang w:val="en-US"/>
              </w:rPr>
            </w:pPr>
            <w:r>
              <w:rPr>
                <w:sz w:val="18"/>
                <w:szCs w:val="18"/>
                <w:lang w:val="en-US"/>
              </w:rPr>
              <w:t>单体</w:t>
            </w:r>
          </w:p>
        </w:tc>
        <w:tc>
          <w:tcPr>
            <w:tcW w:w="1559" w:type="dxa"/>
            <w:shd w:val="clear" w:color="auto" w:fill="auto"/>
            <w:vAlign w:val="center"/>
          </w:tcPr>
          <w:p w14:paraId="615A3584">
            <w:pPr>
              <w:jc w:val="center"/>
              <w:rPr>
                <w:sz w:val="18"/>
                <w:szCs w:val="18"/>
                <w:lang w:val="en-US"/>
              </w:rPr>
            </w:pPr>
            <w:r>
              <w:rPr>
                <w:sz w:val="18"/>
                <w:szCs w:val="18"/>
                <w:lang w:val="en-US"/>
              </w:rPr>
              <w:t>218</w:t>
            </w:r>
          </w:p>
        </w:tc>
        <w:tc>
          <w:tcPr>
            <w:tcW w:w="3544" w:type="dxa"/>
            <w:shd w:val="clear" w:color="auto" w:fill="auto"/>
            <w:vAlign w:val="center"/>
          </w:tcPr>
          <w:p w14:paraId="6E20B1EB">
            <w:pPr>
              <w:jc w:val="center"/>
              <w:rPr>
                <w:sz w:val="18"/>
                <w:szCs w:val="18"/>
                <w:lang w:val="en-US"/>
              </w:rPr>
            </w:pPr>
            <w:r>
              <w:rPr>
                <w:sz w:val="18"/>
                <w:szCs w:val="18"/>
                <w:lang w:val="en-US"/>
              </w:rPr>
              <w:t>133</w:t>
            </w:r>
          </w:p>
        </w:tc>
        <w:tc>
          <w:tcPr>
            <w:tcW w:w="1116" w:type="dxa"/>
            <w:shd w:val="clear" w:color="auto" w:fill="auto"/>
            <w:vAlign w:val="center"/>
          </w:tcPr>
          <w:p w14:paraId="25A87AFF">
            <w:pPr>
              <w:jc w:val="center"/>
              <w:rPr>
                <w:sz w:val="18"/>
                <w:szCs w:val="18"/>
                <w:lang w:val="en-US"/>
              </w:rPr>
            </w:pPr>
            <w:r>
              <w:rPr>
                <w:sz w:val="18"/>
                <w:szCs w:val="18"/>
                <w:lang w:val="en-US"/>
              </w:rPr>
              <w:t>61.01</w:t>
            </w:r>
          </w:p>
        </w:tc>
        <w:tc>
          <w:tcPr>
            <w:tcW w:w="1011" w:type="dxa"/>
            <w:shd w:val="clear" w:color="auto" w:fill="auto"/>
            <w:vAlign w:val="center"/>
          </w:tcPr>
          <w:p w14:paraId="76059757">
            <w:pPr>
              <w:jc w:val="center"/>
              <w:rPr>
                <w:sz w:val="18"/>
                <w:szCs w:val="18"/>
                <w:lang w:val="en-US"/>
              </w:rPr>
            </w:pPr>
            <w:r>
              <w:rPr>
                <w:sz w:val="18"/>
                <w:szCs w:val="18"/>
                <w:lang w:val="en-US"/>
              </w:rPr>
              <w:t>是</w:t>
            </w:r>
          </w:p>
        </w:tc>
      </w:tr>
    </w:tbl>
    <w:p w14:paraId="53DF1619">
      <w:pPr>
        <w:rPr>
          <w:sz w:val="18"/>
          <w:szCs w:val="18"/>
        </w:rPr>
      </w:pPr>
      <w:r>
        <w:rPr>
          <w:rFonts w:hint="eastAsia"/>
          <w:sz w:val="18"/>
          <w:szCs w:val="18"/>
          <w:lang w:val="en-US"/>
        </w:rPr>
        <w:t>说明：达标比例＝（室内外风压差大于0.5Pa的总数/可开启外窗总数）*100％</w:t>
      </w:r>
    </w:p>
    <w:bookmarkEnd w:id="24"/>
    <w:p w14:paraId="11C5E251">
      <w:pPr>
        <w:rPr>
          <w:lang w:val="en-US"/>
        </w:rPr>
      </w:pPr>
    </w:p>
    <w:p w14:paraId="594B8284">
      <w:pPr>
        <w:ind w:firstLine="420"/>
      </w:pPr>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02B06A1F">
      <w:pPr>
        <w:jc w:val="center"/>
        <w:rPr>
          <w:rFonts w:ascii="微软雅黑" w:hAnsi="微软雅黑" w:eastAsia="微软雅黑"/>
        </w:rPr>
      </w:pPr>
      <w:r>
        <w:rPr>
          <w:rFonts w:hint="eastAsia" w:ascii="微软雅黑" w:hAnsi="微软雅黑" w:eastAsia="微软雅黑"/>
        </w:rPr>
        <w:t>表</w:t>
      </w:r>
      <w:r>
        <w:rPr>
          <w:rFonts w:ascii="微软雅黑" w:hAnsi="微软雅黑" w:eastAsia="微软雅黑"/>
        </w:rPr>
        <w:t xml:space="preserve"> </w:t>
      </w:r>
      <w:r>
        <w:rPr>
          <w:rFonts w:ascii="微软雅黑" w:hAnsi="微软雅黑" w:eastAsia="微软雅黑"/>
        </w:rPr>
        <w:fldChar w:fldCharType="begin"/>
      </w:r>
      <w:r>
        <w:rPr>
          <w:rFonts w:ascii="微软雅黑" w:hAnsi="微软雅黑" w:eastAsia="微软雅黑"/>
        </w:rPr>
        <w:instrText xml:space="preserve"> STYLEREF 2 \s </w:instrText>
      </w:r>
      <w:r>
        <w:rPr>
          <w:rFonts w:ascii="微软雅黑" w:hAnsi="微软雅黑" w:eastAsia="微软雅黑"/>
        </w:rPr>
        <w:fldChar w:fldCharType="separate"/>
      </w:r>
      <w:r>
        <w:rPr>
          <w:rFonts w:ascii="微软雅黑" w:hAnsi="微软雅黑" w:eastAsia="微软雅黑"/>
        </w:rPr>
        <w:t>5.4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w:instrText>
      </w:r>
      <w:r>
        <w:rPr>
          <w:rFonts w:hint="eastAsia" w:ascii="微软雅黑" w:hAnsi="微软雅黑" w:eastAsia="微软雅黑"/>
        </w:rPr>
        <w:instrText xml:space="preserve">表</w:instrText>
      </w:r>
      <w:r>
        <w:rPr>
          <w:rFonts w:ascii="微软雅黑" w:hAnsi="微软雅黑" w:eastAsia="微软雅黑"/>
        </w:rPr>
        <w:instrText xml:space="preserve"> \* ARABIC \s 2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r>
        <w:rPr>
          <w:rFonts w:ascii="微软雅黑" w:hAnsi="微软雅黑" w:eastAsia="微软雅黑"/>
        </w:rPr>
        <w:t xml:space="preserve">  </w:t>
      </w:r>
      <w:r>
        <w:rPr>
          <w:rFonts w:hint="eastAsia" w:ascii="微软雅黑" w:hAnsi="微软雅黑" w:eastAsia="微软雅黑"/>
        </w:rPr>
        <w:t>建筑室内外风压差达标判定表</w:t>
      </w:r>
    </w:p>
    <w:tbl>
      <w:tblPr>
        <w:tblStyle w:val="28"/>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73"/>
        <w:gridCol w:w="1418"/>
        <w:gridCol w:w="3260"/>
        <w:gridCol w:w="1276"/>
        <w:gridCol w:w="1073"/>
      </w:tblGrid>
      <w:tr w14:paraId="05F37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shd w:val="clear" w:color="auto" w:fill="E6E6E6"/>
            <w:vAlign w:val="center"/>
          </w:tcPr>
          <w:p w14:paraId="5CF3B5EA">
            <w:pPr>
              <w:jc w:val="center"/>
              <w:rPr>
                <w:sz w:val="18"/>
                <w:szCs w:val="18"/>
                <w:lang w:val="en-US"/>
              </w:rPr>
            </w:pPr>
            <w:r>
              <w:rPr>
                <w:rFonts w:hint="eastAsia"/>
                <w:sz w:val="18"/>
                <w:szCs w:val="18"/>
                <w:lang w:val="en-US"/>
              </w:rPr>
              <w:t>建筑编号</w:t>
            </w:r>
          </w:p>
        </w:tc>
        <w:tc>
          <w:tcPr>
            <w:tcW w:w="1418" w:type="dxa"/>
            <w:shd w:val="clear" w:color="auto" w:fill="E6E6E6"/>
            <w:vAlign w:val="center"/>
          </w:tcPr>
          <w:p w14:paraId="221B2D7A">
            <w:pPr>
              <w:jc w:val="center"/>
              <w:rPr>
                <w:sz w:val="18"/>
                <w:szCs w:val="18"/>
                <w:lang w:val="en-US"/>
              </w:rPr>
            </w:pPr>
            <w:r>
              <w:rPr>
                <w:rFonts w:hint="eastAsia"/>
                <w:sz w:val="18"/>
                <w:szCs w:val="18"/>
                <w:lang w:val="en-US"/>
              </w:rPr>
              <w:t>建筑表面积（㎡）</w:t>
            </w:r>
          </w:p>
        </w:tc>
        <w:tc>
          <w:tcPr>
            <w:tcW w:w="3260" w:type="dxa"/>
            <w:shd w:val="clear" w:color="auto" w:fill="E6E6E6"/>
            <w:vAlign w:val="center"/>
          </w:tcPr>
          <w:p w14:paraId="3A56C629">
            <w:pPr>
              <w:jc w:val="center"/>
              <w:rPr>
                <w:sz w:val="18"/>
                <w:szCs w:val="18"/>
                <w:lang w:val="en-US"/>
              </w:rPr>
            </w:pPr>
            <w:r>
              <w:rPr>
                <w:rFonts w:hint="eastAsia"/>
                <w:sz w:val="18"/>
                <w:szCs w:val="18"/>
                <w:lang w:val="en-US"/>
              </w:rPr>
              <w:t>室内外风压差大于</w:t>
            </w:r>
            <w:r>
              <w:rPr>
                <w:sz w:val="18"/>
                <w:szCs w:val="18"/>
                <w:lang w:val="en-US"/>
              </w:rPr>
              <w:t>0.5Pa</w:t>
            </w:r>
            <w:r>
              <w:rPr>
                <w:rFonts w:hint="eastAsia"/>
                <w:sz w:val="18"/>
                <w:szCs w:val="18"/>
                <w:lang w:val="en-US"/>
              </w:rPr>
              <w:t>的建筑表面积（㎡）</w:t>
            </w:r>
          </w:p>
        </w:tc>
        <w:tc>
          <w:tcPr>
            <w:tcW w:w="1276" w:type="dxa"/>
            <w:shd w:val="clear" w:color="auto" w:fill="E6E6E6"/>
            <w:vAlign w:val="center"/>
          </w:tcPr>
          <w:p w14:paraId="2DE77EC7">
            <w:pPr>
              <w:jc w:val="center"/>
              <w:rPr>
                <w:sz w:val="18"/>
                <w:szCs w:val="18"/>
                <w:lang w:val="en-US"/>
              </w:rPr>
            </w:pPr>
            <w:r>
              <w:rPr>
                <w:rFonts w:hint="eastAsia"/>
                <w:sz w:val="18"/>
                <w:szCs w:val="18"/>
                <w:lang w:val="en-US"/>
              </w:rPr>
              <w:t>达标比例（</w:t>
            </w:r>
            <w:r>
              <w:rPr>
                <w:sz w:val="18"/>
                <w:szCs w:val="18"/>
                <w:lang w:val="en-US"/>
              </w:rPr>
              <w:t>%</w:t>
            </w:r>
            <w:r>
              <w:rPr>
                <w:rFonts w:hint="eastAsia"/>
                <w:sz w:val="18"/>
                <w:szCs w:val="18"/>
                <w:lang w:val="en-US"/>
              </w:rPr>
              <w:t>）</w:t>
            </w:r>
          </w:p>
        </w:tc>
        <w:tc>
          <w:tcPr>
            <w:tcW w:w="1073" w:type="dxa"/>
            <w:shd w:val="clear" w:color="auto" w:fill="E6E6E6"/>
            <w:vAlign w:val="center"/>
          </w:tcPr>
          <w:p w14:paraId="67207FA6">
            <w:pPr>
              <w:jc w:val="center"/>
              <w:rPr>
                <w:sz w:val="18"/>
                <w:szCs w:val="18"/>
                <w:lang w:val="en-US"/>
              </w:rPr>
            </w:pPr>
            <w:r>
              <w:rPr>
                <w:rFonts w:hint="eastAsia"/>
                <w:sz w:val="18"/>
                <w:szCs w:val="18"/>
                <w:lang w:val="en-US"/>
              </w:rPr>
              <w:t>是否达标</w:t>
            </w:r>
          </w:p>
        </w:tc>
      </w:tr>
      <w:tr w14:paraId="431C1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07B5ECBD">
            <w:pPr>
              <w:spacing w:line="440" w:lineRule="exact"/>
              <w:jc w:val="center"/>
              <w:rPr>
                <w:sz w:val="18"/>
                <w:szCs w:val="18"/>
                <w:lang w:val="en-US"/>
              </w:rPr>
            </w:pPr>
            <w:r>
              <w:rPr>
                <w:sz w:val="18"/>
                <w:szCs w:val="18"/>
                <w:lang w:val="en-US"/>
              </w:rPr>
              <w:t>风禾驿</w:t>
            </w:r>
          </w:p>
        </w:tc>
        <w:tc>
          <w:tcPr>
            <w:tcW w:w="1418" w:type="dxa"/>
            <w:vAlign w:val="center"/>
          </w:tcPr>
          <w:p w14:paraId="3495EC7F">
            <w:pPr>
              <w:spacing w:line="440" w:lineRule="exact"/>
              <w:jc w:val="center"/>
              <w:rPr>
                <w:sz w:val="18"/>
                <w:szCs w:val="18"/>
                <w:lang w:val="en-US"/>
              </w:rPr>
            </w:pPr>
            <w:r>
              <w:rPr>
                <w:sz w:val="18"/>
                <w:szCs w:val="18"/>
                <w:lang w:val="en-US"/>
              </w:rPr>
              <w:t>15005.30</w:t>
            </w:r>
          </w:p>
        </w:tc>
        <w:tc>
          <w:tcPr>
            <w:tcW w:w="3260" w:type="dxa"/>
            <w:vAlign w:val="center"/>
          </w:tcPr>
          <w:p w14:paraId="33B375C5">
            <w:pPr>
              <w:spacing w:line="440" w:lineRule="exact"/>
              <w:jc w:val="center"/>
              <w:rPr>
                <w:sz w:val="18"/>
                <w:szCs w:val="18"/>
                <w:lang w:val="en-US"/>
              </w:rPr>
            </w:pPr>
            <w:r>
              <w:rPr>
                <w:sz w:val="18"/>
                <w:szCs w:val="18"/>
                <w:lang w:val="en-US"/>
              </w:rPr>
              <w:t>14629.90</w:t>
            </w:r>
          </w:p>
        </w:tc>
        <w:tc>
          <w:tcPr>
            <w:tcW w:w="1276" w:type="dxa"/>
            <w:vAlign w:val="center"/>
          </w:tcPr>
          <w:p w14:paraId="7C67144C">
            <w:pPr>
              <w:spacing w:line="440" w:lineRule="exact"/>
              <w:jc w:val="center"/>
              <w:rPr>
                <w:sz w:val="18"/>
                <w:szCs w:val="18"/>
                <w:lang w:val="en-US"/>
              </w:rPr>
            </w:pPr>
            <w:r>
              <w:rPr>
                <w:sz w:val="18"/>
                <w:szCs w:val="18"/>
                <w:lang w:val="en-US"/>
              </w:rPr>
              <w:t>97.50</w:t>
            </w:r>
          </w:p>
        </w:tc>
        <w:tc>
          <w:tcPr>
            <w:tcW w:w="1073" w:type="dxa"/>
            <w:vAlign w:val="center"/>
          </w:tcPr>
          <w:p w14:paraId="1DF39F21">
            <w:pPr>
              <w:spacing w:line="440" w:lineRule="exact"/>
              <w:jc w:val="center"/>
              <w:rPr>
                <w:sz w:val="18"/>
                <w:szCs w:val="18"/>
                <w:lang w:val="en-US"/>
              </w:rPr>
            </w:pPr>
            <w:r>
              <w:rPr>
                <w:sz w:val="18"/>
                <w:szCs w:val="18"/>
                <w:lang w:val="en-US"/>
              </w:rPr>
              <w:t>是</w:t>
            </w:r>
          </w:p>
        </w:tc>
      </w:tr>
      <w:tr w14:paraId="44B31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3B8615F0">
            <w:pPr>
              <w:spacing w:line="440" w:lineRule="exact"/>
              <w:jc w:val="center"/>
              <w:rPr>
                <w:sz w:val="18"/>
                <w:szCs w:val="18"/>
                <w:lang w:val="en-US"/>
              </w:rPr>
            </w:pPr>
            <w:r>
              <w:rPr>
                <w:sz w:val="18"/>
                <w:szCs w:val="18"/>
                <w:lang w:val="en-US"/>
              </w:rPr>
              <w:t>未命名</w:t>
            </w:r>
          </w:p>
        </w:tc>
        <w:tc>
          <w:tcPr>
            <w:tcW w:w="1418" w:type="dxa"/>
            <w:vAlign w:val="center"/>
          </w:tcPr>
          <w:p w14:paraId="19008C6B">
            <w:pPr>
              <w:spacing w:line="440" w:lineRule="exact"/>
              <w:jc w:val="center"/>
              <w:rPr>
                <w:sz w:val="18"/>
                <w:szCs w:val="18"/>
                <w:lang w:val="en-US"/>
              </w:rPr>
            </w:pPr>
            <w:r>
              <w:rPr>
                <w:sz w:val="18"/>
                <w:szCs w:val="18"/>
                <w:lang w:val="en-US"/>
              </w:rPr>
              <w:t>442.81</w:t>
            </w:r>
          </w:p>
        </w:tc>
        <w:tc>
          <w:tcPr>
            <w:tcW w:w="3260" w:type="dxa"/>
            <w:vAlign w:val="center"/>
          </w:tcPr>
          <w:p w14:paraId="3B133ADA">
            <w:pPr>
              <w:spacing w:line="440" w:lineRule="exact"/>
              <w:jc w:val="center"/>
              <w:rPr>
                <w:sz w:val="18"/>
                <w:szCs w:val="18"/>
                <w:lang w:val="en-US"/>
              </w:rPr>
            </w:pPr>
            <w:r>
              <w:rPr>
                <w:sz w:val="18"/>
                <w:szCs w:val="18"/>
                <w:lang w:val="en-US"/>
              </w:rPr>
              <w:t>439.23</w:t>
            </w:r>
          </w:p>
        </w:tc>
        <w:tc>
          <w:tcPr>
            <w:tcW w:w="1276" w:type="dxa"/>
            <w:vAlign w:val="center"/>
          </w:tcPr>
          <w:p w14:paraId="2B9D61B0">
            <w:pPr>
              <w:spacing w:line="440" w:lineRule="exact"/>
              <w:jc w:val="center"/>
              <w:rPr>
                <w:sz w:val="18"/>
                <w:szCs w:val="18"/>
                <w:lang w:val="en-US"/>
              </w:rPr>
            </w:pPr>
            <w:r>
              <w:rPr>
                <w:sz w:val="18"/>
                <w:szCs w:val="18"/>
                <w:lang w:val="en-US"/>
              </w:rPr>
              <w:t>99.19</w:t>
            </w:r>
          </w:p>
        </w:tc>
        <w:tc>
          <w:tcPr>
            <w:tcW w:w="1073" w:type="dxa"/>
            <w:vAlign w:val="center"/>
          </w:tcPr>
          <w:p w14:paraId="771BAF7F">
            <w:pPr>
              <w:spacing w:line="440" w:lineRule="exact"/>
              <w:jc w:val="center"/>
              <w:rPr>
                <w:sz w:val="18"/>
                <w:szCs w:val="18"/>
                <w:lang w:val="en-US"/>
              </w:rPr>
            </w:pPr>
            <w:r>
              <w:rPr>
                <w:sz w:val="18"/>
                <w:szCs w:val="18"/>
                <w:lang w:val="en-US"/>
              </w:rPr>
              <w:t>是</w:t>
            </w:r>
          </w:p>
        </w:tc>
      </w:tr>
    </w:tbl>
    <w:p w14:paraId="668FAFAE">
      <w:pPr>
        <w:rPr>
          <w:sz w:val="18"/>
          <w:szCs w:val="18"/>
          <w:lang w:val="en-US"/>
        </w:rPr>
      </w:pPr>
      <w:r>
        <w:rPr>
          <w:rFonts w:hint="eastAsia"/>
          <w:sz w:val="18"/>
          <w:szCs w:val="18"/>
          <w:lang w:val="en-US"/>
        </w:rPr>
        <w:t>说明：达标比例＝（室内外风压差大于</w:t>
      </w:r>
      <w:r>
        <w:rPr>
          <w:sz w:val="18"/>
          <w:szCs w:val="18"/>
          <w:lang w:val="en-US"/>
        </w:rPr>
        <w:t>0.5Pa</w:t>
      </w:r>
      <w:r>
        <w:rPr>
          <w:rFonts w:hint="eastAsia"/>
          <w:sz w:val="18"/>
          <w:szCs w:val="18"/>
          <w:lang w:val="en-US"/>
        </w:rPr>
        <w:t>的建筑表面积</w:t>
      </w:r>
      <w:r>
        <w:rPr>
          <w:sz w:val="18"/>
          <w:szCs w:val="18"/>
          <w:lang w:val="en-US"/>
        </w:rPr>
        <w:t>/</w:t>
      </w:r>
      <w:r>
        <w:rPr>
          <w:rFonts w:hint="eastAsia"/>
          <w:sz w:val="18"/>
          <w:szCs w:val="18"/>
          <w:lang w:val="en-US"/>
        </w:rPr>
        <w:t>建筑表面积）</w:t>
      </w:r>
      <w:r>
        <w:rPr>
          <w:sz w:val="18"/>
          <w:szCs w:val="18"/>
          <w:lang w:val="en-US"/>
        </w:rPr>
        <w:t>*100</w:t>
      </w:r>
      <w:r>
        <w:rPr>
          <w:rFonts w:hint="eastAsia"/>
          <w:sz w:val="18"/>
          <w:szCs w:val="18"/>
          <w:lang w:val="en-US"/>
        </w:rPr>
        <w:t>％</w:t>
      </w:r>
    </w:p>
    <w:p w14:paraId="0ACE370F">
      <w:r>
        <w:rPr>
          <w:rFonts w:hint="eastAsia"/>
        </w:rPr>
        <w:t xml:space="preserve"> </w:t>
      </w:r>
      <w:bookmarkEnd w:id="26"/>
    </w:p>
    <w:p w14:paraId="47A2BF66">
      <w:pPr>
        <w:ind w:firstLine="420"/>
        <w:rPr>
          <w:lang w:val="en-US"/>
        </w:rPr>
      </w:pPr>
      <w:r>
        <w:rPr>
          <w:rFonts w:hint="eastAsia"/>
          <w:lang w:val="en-US"/>
        </w:rPr>
        <w:t>结论：本项目中所有建筑均满足“50%以上可开启外窗室内外表面的风压差大于0.5Pa”的要求。中所有建筑均</w:t>
      </w:r>
      <w:r>
        <w:rPr>
          <w:rFonts w:hint="eastAsia"/>
          <w:b/>
          <w:color w:val="0000FF"/>
          <w:lang w:val="en-US"/>
        </w:rPr>
        <w:t>满足</w:t>
      </w:r>
      <w:r>
        <w:rPr>
          <w:rFonts w:hint="eastAsia"/>
          <w:lang w:val="en-US"/>
        </w:rPr>
        <w:t>“</w:t>
      </w:r>
      <w:r>
        <w:rPr>
          <w:lang w:val="en-US"/>
        </w:rPr>
        <w:t>50%</w:t>
      </w:r>
      <w:r>
        <w:rPr>
          <w:rFonts w:hint="eastAsia"/>
          <w:lang w:val="en-US"/>
        </w:rPr>
        <w:t>以上可开启外窗室内外表面的风压差大于</w:t>
      </w:r>
      <w:r>
        <w:rPr>
          <w:lang w:val="en-US"/>
        </w:rPr>
        <w:t>0.5Pa</w:t>
      </w:r>
      <w:r>
        <w:rPr>
          <w:rFonts w:hint="eastAsia"/>
          <w:lang w:val="en-US"/>
        </w:rPr>
        <w:t xml:space="preserve">”的要求。 </w:t>
      </w:r>
    </w:p>
    <w:p w14:paraId="46B9511B">
      <w:pPr>
        <w:rPr>
          <w:lang w:val="en-US"/>
        </w:rPr>
      </w:pPr>
      <w:bookmarkStart w:id="138" w:name="其他工况"/>
      <w:bookmarkEnd w:id="138"/>
      <w:r>
        <w:rPr>
          <w:rFonts w:hint="eastAsia"/>
          <w:lang w:val="en-US"/>
        </w:rPr>
        <w:t xml:space="preserve"> </w:t>
      </w:r>
    </w:p>
    <w:p w14:paraId="293EF5D7">
      <w:pPr>
        <w:pStyle w:val="2"/>
      </w:pPr>
      <w:bookmarkStart w:id="139" w:name="_Toc509844764"/>
      <w:bookmarkStart w:id="140" w:name="_Toc23911"/>
      <w:r>
        <w:rPr>
          <w:rFonts w:hint="eastAsia"/>
        </w:rPr>
        <w:t>结论</w:t>
      </w:r>
      <w:bookmarkEnd w:id="139"/>
      <w:bookmarkEnd w:id="140"/>
    </w:p>
    <w:p w14:paraId="74C7598E">
      <w:pPr>
        <w:pStyle w:val="4"/>
      </w:pPr>
      <w:bookmarkStart w:id="141" w:name="_Toc509844765"/>
      <w:bookmarkStart w:id="142" w:name="_Toc20210"/>
      <w:r>
        <w:rPr>
          <w:rFonts w:hint="eastAsia"/>
        </w:rPr>
        <w:t>冬季工况达标判断</w:t>
      </w:r>
      <w:bookmarkEnd w:id="141"/>
      <w:bookmarkEnd w:id="142"/>
      <w:bookmarkStart w:id="143" w:name="_Toc509844766"/>
      <w:bookmarkEnd w:id="143"/>
    </w:p>
    <w:p w14:paraId="6A00F372">
      <w:pPr>
        <w:pStyle w:val="3"/>
        <w:spacing w:line="240" w:lineRule="atLeast"/>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冬季工况达标判断表</w:t>
      </w:r>
    </w:p>
    <w:tbl>
      <w:tblPr>
        <w:tblStyle w:val="28"/>
        <w:tblW w:w="8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409"/>
        <w:gridCol w:w="2127"/>
        <w:gridCol w:w="1258"/>
        <w:gridCol w:w="992"/>
      </w:tblGrid>
      <w:tr w14:paraId="47DA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E6E6E6"/>
            <w:vAlign w:val="center"/>
          </w:tcPr>
          <w:p w14:paraId="751112F8">
            <w:pPr>
              <w:rPr>
                <w:sz w:val="18"/>
                <w:szCs w:val="18"/>
                <w:lang w:val="en-US"/>
              </w:rPr>
            </w:pPr>
            <w:r>
              <w:rPr>
                <w:rFonts w:hint="eastAsia"/>
                <w:sz w:val="18"/>
                <w:szCs w:val="18"/>
                <w:lang w:val="en-US"/>
              </w:rPr>
              <w:t>评价项目</w:t>
            </w:r>
          </w:p>
        </w:tc>
        <w:tc>
          <w:tcPr>
            <w:tcW w:w="2409" w:type="dxa"/>
            <w:shd w:val="clear" w:color="auto" w:fill="E6E6E6"/>
          </w:tcPr>
          <w:p w14:paraId="1C332C8F">
            <w:pPr>
              <w:rPr>
                <w:sz w:val="18"/>
                <w:szCs w:val="18"/>
                <w:lang w:val="en-US"/>
              </w:rPr>
            </w:pPr>
            <w:r>
              <w:rPr>
                <w:rFonts w:hint="eastAsia"/>
                <w:sz w:val="18"/>
                <w:szCs w:val="18"/>
                <w:lang w:val="en-US"/>
              </w:rPr>
              <w:t>标准要求</w:t>
            </w:r>
          </w:p>
        </w:tc>
        <w:tc>
          <w:tcPr>
            <w:tcW w:w="2127" w:type="dxa"/>
            <w:shd w:val="clear" w:color="auto" w:fill="E6E6E6"/>
            <w:vAlign w:val="center"/>
          </w:tcPr>
          <w:p w14:paraId="3368D86C">
            <w:pPr>
              <w:rPr>
                <w:sz w:val="18"/>
                <w:szCs w:val="18"/>
                <w:lang w:val="en-US"/>
              </w:rPr>
            </w:pPr>
            <w:r>
              <w:rPr>
                <w:rFonts w:hint="eastAsia"/>
                <w:sz w:val="18"/>
                <w:szCs w:val="18"/>
                <w:lang w:val="en-US"/>
              </w:rPr>
              <w:t>项目计算结果</w:t>
            </w:r>
          </w:p>
        </w:tc>
        <w:tc>
          <w:tcPr>
            <w:tcW w:w="1258" w:type="dxa"/>
            <w:shd w:val="clear" w:color="auto" w:fill="E6E6E6"/>
          </w:tcPr>
          <w:p w14:paraId="147A9E07">
            <w:pPr>
              <w:rPr>
                <w:sz w:val="18"/>
                <w:szCs w:val="18"/>
                <w:lang w:val="en-US"/>
              </w:rPr>
            </w:pPr>
            <w:r>
              <w:rPr>
                <w:rFonts w:hint="eastAsia"/>
                <w:sz w:val="18"/>
                <w:szCs w:val="18"/>
                <w:lang w:val="en-US"/>
              </w:rPr>
              <w:t>达标判定</w:t>
            </w:r>
          </w:p>
        </w:tc>
        <w:tc>
          <w:tcPr>
            <w:tcW w:w="992" w:type="dxa"/>
            <w:shd w:val="clear" w:color="auto" w:fill="E6E6E6"/>
          </w:tcPr>
          <w:p w14:paraId="4E130D53">
            <w:pPr>
              <w:rPr>
                <w:sz w:val="18"/>
                <w:szCs w:val="18"/>
                <w:lang w:val="en-US"/>
              </w:rPr>
            </w:pPr>
            <w:r>
              <w:rPr>
                <w:rFonts w:hint="eastAsia"/>
                <w:sz w:val="18"/>
                <w:szCs w:val="18"/>
                <w:lang w:val="en-US"/>
              </w:rPr>
              <w:t>得分</w:t>
            </w:r>
          </w:p>
        </w:tc>
      </w:tr>
      <w:tr w14:paraId="796C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4F380614">
            <w:pPr>
              <w:spacing w:line="300" w:lineRule="exact"/>
              <w:rPr>
                <w:sz w:val="18"/>
                <w:szCs w:val="18"/>
                <w:lang w:val="en-US"/>
              </w:rPr>
            </w:pPr>
            <w:r>
              <w:rPr>
                <w:rFonts w:hint="eastAsia"/>
                <w:sz w:val="18"/>
                <w:szCs w:val="18"/>
                <w:lang w:val="en-US"/>
              </w:rPr>
              <w:t>风速</w:t>
            </w:r>
          </w:p>
        </w:tc>
        <w:tc>
          <w:tcPr>
            <w:tcW w:w="2409" w:type="dxa"/>
            <w:vMerge w:val="restart"/>
            <w:shd w:val="clear" w:color="auto" w:fill="auto"/>
            <w:vAlign w:val="center"/>
          </w:tcPr>
          <w:p w14:paraId="385A4D8D">
            <w:pPr>
              <w:spacing w:line="300" w:lineRule="exact"/>
              <w:jc w:val="center"/>
              <w:rPr>
                <w:sz w:val="18"/>
                <w:szCs w:val="18"/>
                <w:lang w:val="en-US"/>
              </w:rPr>
            </w:pPr>
            <w:r>
              <w:rPr>
                <w:rFonts w:hint="eastAsia"/>
                <w:sz w:val="18"/>
                <w:szCs w:val="18"/>
                <w:lang w:val="en-US"/>
              </w:rPr>
              <w:t>建筑物周围人行区距地高1. 5m处风速小于5m/s, 户外休息区、儿童娱乐区风速小于2m/s, 且室外风速放大系数小于2, 得</w:t>
            </w:r>
            <w:bookmarkStart w:id="144" w:name="标准要求冬季风速得分"/>
            <w:r>
              <w:rPr>
                <w:rFonts w:hint="eastAsia"/>
                <w:sz w:val="18"/>
                <w:szCs w:val="18"/>
                <w:lang w:val="en-US"/>
              </w:rPr>
              <w:t>3</w:t>
            </w:r>
            <w:bookmarkEnd w:id="144"/>
            <w:r>
              <w:rPr>
                <w:rFonts w:hint="eastAsia"/>
                <w:sz w:val="18"/>
                <w:szCs w:val="18"/>
                <w:lang w:val="en-US"/>
              </w:rPr>
              <w:t>分；</w:t>
            </w:r>
          </w:p>
        </w:tc>
        <w:tc>
          <w:tcPr>
            <w:tcW w:w="2127" w:type="dxa"/>
            <w:shd w:val="clear" w:color="auto" w:fill="auto"/>
            <w:vAlign w:val="center"/>
          </w:tcPr>
          <w:p w14:paraId="41A46373">
            <w:pPr>
              <w:spacing w:line="300" w:lineRule="exact"/>
              <w:jc w:val="center"/>
              <w:rPr>
                <w:sz w:val="18"/>
                <w:szCs w:val="18"/>
                <w:lang w:val="en-US"/>
              </w:rPr>
            </w:pPr>
            <w:bookmarkStart w:id="145" w:name="冬季风速结果"/>
            <w:bookmarkEnd w:id="145"/>
            <w:bookmarkStart w:id="146" w:name="冬季风速结果2"/>
            <w:bookmarkEnd w:id="146"/>
            <w:r>
              <w:rPr>
                <w:sz w:val="18"/>
                <w:szCs w:val="18"/>
                <w:lang w:val="en-US"/>
              </w:rPr>
              <w:t>未出现风速超标区域</w:t>
            </w:r>
          </w:p>
        </w:tc>
        <w:tc>
          <w:tcPr>
            <w:tcW w:w="1258" w:type="dxa"/>
            <w:vMerge w:val="restart"/>
            <w:shd w:val="clear" w:color="auto" w:fill="auto"/>
            <w:vAlign w:val="center"/>
          </w:tcPr>
          <w:p w14:paraId="448EF21F">
            <w:pPr>
              <w:spacing w:line="300" w:lineRule="exact"/>
              <w:jc w:val="center"/>
              <w:rPr>
                <w:sz w:val="18"/>
                <w:szCs w:val="18"/>
                <w:lang w:val="en-US"/>
              </w:rPr>
            </w:pPr>
            <w:bookmarkStart w:id="147" w:name="冬季风速达标判定"/>
            <w:r>
              <w:rPr>
                <w:rFonts w:hint="eastAsia"/>
                <w:sz w:val="18"/>
                <w:szCs w:val="18"/>
                <w:lang w:val="en-US"/>
              </w:rPr>
              <w:t>达标</w:t>
            </w:r>
            <w:bookmarkEnd w:id="147"/>
          </w:p>
        </w:tc>
        <w:tc>
          <w:tcPr>
            <w:tcW w:w="992" w:type="dxa"/>
            <w:vMerge w:val="restart"/>
            <w:shd w:val="clear" w:color="auto" w:fill="auto"/>
            <w:vAlign w:val="center"/>
          </w:tcPr>
          <w:p w14:paraId="57AEB10E">
            <w:pPr>
              <w:spacing w:line="300" w:lineRule="exact"/>
              <w:jc w:val="center"/>
              <w:rPr>
                <w:sz w:val="18"/>
                <w:szCs w:val="18"/>
                <w:lang w:val="en-US"/>
              </w:rPr>
            </w:pPr>
            <w:bookmarkStart w:id="148" w:name="冬季风速得分"/>
            <w:r>
              <w:rPr>
                <w:rFonts w:hint="eastAsia"/>
                <w:sz w:val="18"/>
                <w:szCs w:val="18"/>
                <w:lang w:val="en-US"/>
              </w:rPr>
              <w:t>3</w:t>
            </w:r>
            <w:bookmarkEnd w:id="148"/>
            <w:r>
              <w:rPr>
                <w:rFonts w:hint="eastAsia"/>
                <w:sz w:val="18"/>
                <w:szCs w:val="18"/>
                <w:lang w:val="en-US"/>
              </w:rPr>
              <w:t>分</w:t>
            </w:r>
          </w:p>
        </w:tc>
      </w:tr>
      <w:tr w14:paraId="7361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545" w:type="dxa"/>
            <w:shd w:val="clear" w:color="auto" w:fill="auto"/>
            <w:vAlign w:val="center"/>
          </w:tcPr>
          <w:p w14:paraId="5C57C10F">
            <w:pPr>
              <w:spacing w:line="300" w:lineRule="exact"/>
              <w:rPr>
                <w:sz w:val="18"/>
                <w:szCs w:val="18"/>
                <w:lang w:val="en-US"/>
              </w:rPr>
            </w:pPr>
            <w:r>
              <w:rPr>
                <w:rFonts w:hint="eastAsia"/>
                <w:sz w:val="18"/>
                <w:szCs w:val="18"/>
                <w:lang w:val="en-US"/>
              </w:rPr>
              <w:t>风速放大系数</w:t>
            </w:r>
          </w:p>
        </w:tc>
        <w:tc>
          <w:tcPr>
            <w:tcW w:w="2409" w:type="dxa"/>
            <w:vMerge w:val="continue"/>
            <w:shd w:val="clear" w:color="auto" w:fill="auto"/>
            <w:vAlign w:val="center"/>
          </w:tcPr>
          <w:p w14:paraId="225452C8">
            <w:pPr>
              <w:spacing w:line="300" w:lineRule="exact"/>
              <w:jc w:val="center"/>
              <w:rPr>
                <w:sz w:val="18"/>
                <w:szCs w:val="18"/>
                <w:lang w:val="en-US"/>
              </w:rPr>
            </w:pPr>
          </w:p>
        </w:tc>
        <w:tc>
          <w:tcPr>
            <w:tcW w:w="2127" w:type="dxa"/>
            <w:shd w:val="clear" w:color="auto" w:fill="auto"/>
            <w:vAlign w:val="center"/>
          </w:tcPr>
          <w:p w14:paraId="08DE1B18">
            <w:pPr>
              <w:spacing w:line="300" w:lineRule="exact"/>
              <w:jc w:val="center"/>
              <w:rPr>
                <w:sz w:val="18"/>
                <w:szCs w:val="18"/>
                <w:lang w:val="en-US"/>
              </w:rPr>
            </w:pPr>
            <w:bookmarkStart w:id="149" w:name="冬季风速放大系数结果休息区"/>
            <w:bookmarkEnd w:id="149"/>
            <w:bookmarkStart w:id="150" w:name="冬季风速放大系数结果人行区"/>
            <w:bookmarkEnd w:id="150"/>
            <w:r>
              <w:rPr>
                <w:sz w:val="18"/>
                <w:szCs w:val="18"/>
                <w:lang w:val="en-US"/>
              </w:rPr>
              <w:t>未出现风速放大系数大于等于2的区域</w:t>
            </w:r>
          </w:p>
        </w:tc>
        <w:tc>
          <w:tcPr>
            <w:tcW w:w="1258" w:type="dxa"/>
            <w:vMerge w:val="continue"/>
            <w:shd w:val="clear" w:color="auto" w:fill="auto"/>
            <w:vAlign w:val="center"/>
          </w:tcPr>
          <w:p w14:paraId="0E770F4C">
            <w:pPr>
              <w:spacing w:line="300" w:lineRule="exact"/>
              <w:jc w:val="center"/>
              <w:rPr>
                <w:sz w:val="18"/>
                <w:szCs w:val="18"/>
                <w:lang w:val="en-US"/>
              </w:rPr>
            </w:pPr>
          </w:p>
        </w:tc>
        <w:tc>
          <w:tcPr>
            <w:tcW w:w="992" w:type="dxa"/>
            <w:vMerge w:val="continue"/>
            <w:shd w:val="clear" w:color="auto" w:fill="auto"/>
            <w:vAlign w:val="center"/>
          </w:tcPr>
          <w:p w14:paraId="35E36C62">
            <w:pPr>
              <w:spacing w:line="300" w:lineRule="exact"/>
              <w:jc w:val="center"/>
              <w:rPr>
                <w:sz w:val="18"/>
                <w:szCs w:val="18"/>
                <w:lang w:val="en-US"/>
              </w:rPr>
            </w:pPr>
          </w:p>
        </w:tc>
      </w:tr>
      <w:tr w14:paraId="7006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5D378DE2">
            <w:pPr>
              <w:spacing w:line="300" w:lineRule="exact"/>
              <w:rPr>
                <w:sz w:val="18"/>
                <w:szCs w:val="18"/>
                <w:lang w:val="en-US"/>
              </w:rPr>
            </w:pPr>
            <w:r>
              <w:rPr>
                <w:rFonts w:hint="eastAsia"/>
                <w:sz w:val="18"/>
                <w:szCs w:val="18"/>
                <w:lang w:val="en-US"/>
              </w:rPr>
              <w:t>建筑迎风面/背风面风压值</w:t>
            </w:r>
          </w:p>
        </w:tc>
        <w:tc>
          <w:tcPr>
            <w:tcW w:w="2409" w:type="dxa"/>
            <w:shd w:val="clear" w:color="auto" w:fill="auto"/>
            <w:vAlign w:val="center"/>
          </w:tcPr>
          <w:p w14:paraId="22796624">
            <w:pPr>
              <w:spacing w:line="300" w:lineRule="exact"/>
              <w:jc w:val="center"/>
              <w:rPr>
                <w:sz w:val="18"/>
                <w:szCs w:val="18"/>
                <w:lang w:val="en-US"/>
              </w:rPr>
            </w:pPr>
            <w:r>
              <w:rPr>
                <w:rFonts w:hint="eastAsia"/>
                <w:sz w:val="18"/>
                <w:szCs w:val="18"/>
                <w:lang w:val="en-US"/>
              </w:rPr>
              <w:t>除迎风第一排建筑外，建筑迎风面与背风面表面风压差不超过5Pa，得</w:t>
            </w:r>
            <w:bookmarkStart w:id="151" w:name="标准要求冬季风压得分"/>
            <w:r>
              <w:rPr>
                <w:rFonts w:hint="eastAsia"/>
                <w:sz w:val="18"/>
                <w:szCs w:val="18"/>
                <w:lang w:val="en-US"/>
              </w:rPr>
              <w:t>2</w:t>
            </w:r>
            <w:bookmarkEnd w:id="151"/>
            <w:r>
              <w:rPr>
                <w:rFonts w:hint="eastAsia"/>
                <w:sz w:val="18"/>
                <w:szCs w:val="18"/>
                <w:lang w:val="en-US"/>
              </w:rPr>
              <w:t>分</w:t>
            </w:r>
          </w:p>
        </w:tc>
        <w:tc>
          <w:tcPr>
            <w:tcW w:w="2127" w:type="dxa"/>
            <w:shd w:val="clear" w:color="auto" w:fill="auto"/>
            <w:vAlign w:val="center"/>
          </w:tcPr>
          <w:p w14:paraId="0992D7B9">
            <w:pPr>
              <w:spacing w:line="300" w:lineRule="exact"/>
              <w:jc w:val="center"/>
              <w:rPr>
                <w:sz w:val="18"/>
                <w:szCs w:val="18"/>
                <w:lang w:val="en-US"/>
              </w:rPr>
            </w:pPr>
            <w:r>
              <w:rPr>
                <w:rFonts w:hint="eastAsia"/>
                <w:sz w:val="18"/>
                <w:szCs w:val="18"/>
                <w:lang w:val="en-US"/>
              </w:rPr>
              <w:t>本项目</w:t>
            </w:r>
            <w:bookmarkStart w:id="152" w:name="冬季迎背风面结果"/>
            <w:r>
              <w:rPr>
                <w:color w:val="FF0000"/>
              </w:rPr>
              <w:t>出现</w:t>
            </w:r>
            <w:bookmarkEnd w:id="152"/>
            <w:r>
              <w:rPr>
                <w:rFonts w:hint="eastAsia"/>
                <w:sz w:val="18"/>
                <w:szCs w:val="18"/>
                <w:lang w:val="en-US"/>
              </w:rPr>
              <w:t>建筑迎风面与背风面表面风压差大于5Pa的建筑</w:t>
            </w:r>
          </w:p>
        </w:tc>
        <w:tc>
          <w:tcPr>
            <w:tcW w:w="1258" w:type="dxa"/>
            <w:shd w:val="clear" w:color="auto" w:fill="auto"/>
            <w:vAlign w:val="center"/>
          </w:tcPr>
          <w:p w14:paraId="198E1C81">
            <w:pPr>
              <w:spacing w:line="300" w:lineRule="exact"/>
              <w:jc w:val="center"/>
              <w:rPr>
                <w:sz w:val="18"/>
                <w:szCs w:val="18"/>
                <w:lang w:val="en-US"/>
              </w:rPr>
            </w:pPr>
            <w:bookmarkStart w:id="153" w:name="冬季迎背风面达标判定"/>
            <w:r>
              <w:rPr>
                <w:rFonts w:hint="eastAsia"/>
                <w:color w:val="FF0000"/>
                <w:sz w:val="18"/>
                <w:szCs w:val="18"/>
                <w:lang w:val="en-US"/>
              </w:rPr>
              <w:t>不达标</w:t>
            </w:r>
            <w:bookmarkEnd w:id="153"/>
          </w:p>
        </w:tc>
        <w:tc>
          <w:tcPr>
            <w:tcW w:w="992" w:type="dxa"/>
            <w:shd w:val="clear" w:color="auto" w:fill="auto"/>
            <w:vAlign w:val="center"/>
          </w:tcPr>
          <w:p w14:paraId="4E435E3B">
            <w:pPr>
              <w:spacing w:line="300" w:lineRule="exact"/>
              <w:jc w:val="center"/>
              <w:rPr>
                <w:sz w:val="18"/>
                <w:szCs w:val="18"/>
                <w:lang w:val="en-US"/>
              </w:rPr>
            </w:pPr>
            <w:bookmarkStart w:id="154" w:name="冬季迎背风面得分"/>
            <w:r>
              <w:rPr>
                <w:rFonts w:hint="eastAsia"/>
                <w:sz w:val="18"/>
                <w:szCs w:val="18"/>
                <w:lang w:val="en-US"/>
              </w:rPr>
              <w:t>0</w:t>
            </w:r>
            <w:bookmarkEnd w:id="154"/>
            <w:r>
              <w:rPr>
                <w:rFonts w:hint="eastAsia"/>
                <w:sz w:val="18"/>
                <w:szCs w:val="18"/>
                <w:lang w:val="en-US"/>
              </w:rPr>
              <w:t>分</w:t>
            </w:r>
          </w:p>
        </w:tc>
      </w:tr>
    </w:tbl>
    <w:p w14:paraId="4DD00702">
      <w:pPr>
        <w:rPr>
          <w:sz w:val="18"/>
          <w:szCs w:val="18"/>
          <w:lang w:val="en-US"/>
        </w:rPr>
      </w:pPr>
      <w:bookmarkStart w:id="155" w:name="_Toc509844768"/>
      <w:bookmarkEnd w:id="155"/>
      <w:bookmarkStart w:id="156" w:name="_Toc509844767"/>
      <w:bookmarkEnd w:id="156"/>
    </w:p>
    <w:p w14:paraId="312783F6">
      <w:pPr>
        <w:pStyle w:val="4"/>
      </w:pPr>
      <w:bookmarkStart w:id="157" w:name="_Toc509844769"/>
      <w:bookmarkStart w:id="158" w:name="_Toc28622"/>
      <w:r>
        <w:rPr>
          <w:rFonts w:hint="eastAsia"/>
        </w:rPr>
        <w:t>过渡季、夏季工况达标判断</w:t>
      </w:r>
      <w:bookmarkEnd w:id="157"/>
      <w:bookmarkEnd w:id="158"/>
    </w:p>
    <w:p w14:paraId="5520BD0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126"/>
        <w:gridCol w:w="1985"/>
        <w:gridCol w:w="1417"/>
        <w:gridCol w:w="1276"/>
      </w:tblGrid>
      <w:tr w14:paraId="5224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45A42378">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126" w:type="dxa"/>
            <w:shd w:val="clear" w:color="auto" w:fill="E6E6E6"/>
          </w:tcPr>
          <w:p w14:paraId="39AF80AE">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1985" w:type="dxa"/>
            <w:shd w:val="clear" w:color="auto" w:fill="E6E6E6"/>
            <w:vAlign w:val="center"/>
          </w:tcPr>
          <w:p w14:paraId="25ED432B">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417" w:type="dxa"/>
            <w:shd w:val="clear" w:color="auto" w:fill="E6E6E6"/>
          </w:tcPr>
          <w:p w14:paraId="39D4E1B1">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1276" w:type="dxa"/>
            <w:shd w:val="clear" w:color="auto" w:fill="E6E6E6"/>
          </w:tcPr>
          <w:p w14:paraId="72AA9D42">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3DD5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shd w:val="clear" w:color="auto" w:fill="auto"/>
            <w:vAlign w:val="center"/>
          </w:tcPr>
          <w:p w14:paraId="2C28DAC6">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126" w:type="dxa"/>
            <w:vMerge w:val="restart"/>
            <w:shd w:val="clear" w:color="auto" w:fill="auto"/>
            <w:vAlign w:val="center"/>
          </w:tcPr>
          <w:p w14:paraId="66425D9A">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59" w:name="标准要求夏季风速得分"/>
            <w:r>
              <w:rPr>
                <w:rFonts w:hint="eastAsia" w:ascii="微软雅黑" w:hAnsi="微软雅黑" w:eastAsia="微软雅黑"/>
                <w:sz w:val="18"/>
                <w:szCs w:val="18"/>
                <w:lang w:val="en-US"/>
              </w:rPr>
              <w:t>3</w:t>
            </w:r>
            <w:bookmarkEnd w:id="159"/>
            <w:r>
              <w:rPr>
                <w:rFonts w:hint="eastAsia" w:ascii="微软雅黑" w:hAnsi="微软雅黑" w:eastAsia="微软雅黑"/>
                <w:sz w:val="18"/>
                <w:szCs w:val="18"/>
                <w:lang w:val="en-US"/>
              </w:rPr>
              <w:t>分</w:t>
            </w:r>
          </w:p>
        </w:tc>
        <w:tc>
          <w:tcPr>
            <w:tcW w:w="1985" w:type="dxa"/>
            <w:shd w:val="clear" w:color="auto" w:fill="auto"/>
            <w:vAlign w:val="center"/>
          </w:tcPr>
          <w:p w14:paraId="709BCA26">
            <w:pPr>
              <w:jc w:val="center"/>
              <w:rPr>
                <w:rFonts w:ascii="微软雅黑" w:hAnsi="微软雅黑" w:eastAsia="微软雅黑"/>
                <w:sz w:val="18"/>
                <w:szCs w:val="18"/>
                <w:lang w:val="en-US"/>
              </w:rPr>
            </w:pPr>
            <w:bookmarkStart w:id="160" w:name="夏季无风区结果"/>
            <w:r>
              <w:t>没有</w:t>
            </w:r>
            <w:bookmarkEnd w:id="160"/>
            <w:r>
              <w:rPr>
                <w:rFonts w:hint="eastAsia" w:ascii="微软雅黑" w:hAnsi="微软雅黑" w:eastAsia="微软雅黑"/>
                <w:sz w:val="18"/>
                <w:szCs w:val="18"/>
                <w:lang w:val="en-US"/>
              </w:rPr>
              <w:t>无风区</w:t>
            </w:r>
          </w:p>
        </w:tc>
        <w:tc>
          <w:tcPr>
            <w:tcW w:w="1417" w:type="dxa"/>
            <w:vMerge w:val="restart"/>
            <w:shd w:val="clear" w:color="auto" w:fill="auto"/>
            <w:vAlign w:val="center"/>
          </w:tcPr>
          <w:p w14:paraId="5BA20EBC">
            <w:pPr>
              <w:jc w:val="center"/>
              <w:rPr>
                <w:rFonts w:ascii="微软雅黑" w:hAnsi="微软雅黑" w:eastAsia="微软雅黑"/>
                <w:sz w:val="18"/>
                <w:szCs w:val="18"/>
                <w:lang w:val="en-US"/>
              </w:rPr>
            </w:pPr>
            <w:bookmarkStart w:id="161" w:name="夏季无风区达标判定"/>
            <w:r>
              <w:rPr>
                <w:rFonts w:hint="eastAsia" w:ascii="微软雅黑" w:hAnsi="微软雅黑" w:eastAsia="微软雅黑"/>
                <w:b/>
                <w:sz w:val="18"/>
                <w:szCs w:val="18"/>
                <w:lang w:val="en-US"/>
              </w:rPr>
              <w:t>达标</w:t>
            </w:r>
            <w:bookmarkEnd w:id="161"/>
          </w:p>
        </w:tc>
        <w:tc>
          <w:tcPr>
            <w:tcW w:w="1276" w:type="dxa"/>
            <w:vMerge w:val="restart"/>
            <w:shd w:val="clear" w:color="auto" w:fill="auto"/>
            <w:vAlign w:val="center"/>
          </w:tcPr>
          <w:p w14:paraId="595080A8">
            <w:pPr>
              <w:jc w:val="center"/>
              <w:rPr>
                <w:rFonts w:ascii="微软雅黑" w:hAnsi="微软雅黑" w:eastAsia="微软雅黑"/>
                <w:sz w:val="18"/>
                <w:szCs w:val="18"/>
                <w:lang w:val="en-US"/>
              </w:rPr>
            </w:pPr>
            <w:bookmarkStart w:id="162" w:name="夏季无风区得分"/>
            <w:r>
              <w:rPr>
                <w:rFonts w:hint="eastAsia" w:ascii="微软雅黑" w:hAnsi="微软雅黑" w:eastAsia="微软雅黑"/>
                <w:sz w:val="18"/>
                <w:szCs w:val="18"/>
                <w:lang w:val="en-US"/>
              </w:rPr>
              <w:t>3</w:t>
            </w:r>
            <w:bookmarkEnd w:id="162"/>
            <w:r>
              <w:rPr>
                <w:rFonts w:hint="eastAsia" w:ascii="微软雅黑" w:hAnsi="微软雅黑" w:eastAsia="微软雅黑"/>
                <w:sz w:val="18"/>
                <w:szCs w:val="18"/>
                <w:lang w:val="en-US"/>
              </w:rPr>
              <w:t>分</w:t>
            </w:r>
          </w:p>
        </w:tc>
      </w:tr>
      <w:tr w14:paraId="1BFE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shd w:val="clear" w:color="auto" w:fill="auto"/>
            <w:vAlign w:val="center"/>
          </w:tcPr>
          <w:p w14:paraId="28126077">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126" w:type="dxa"/>
            <w:vMerge w:val="continue"/>
            <w:shd w:val="clear" w:color="auto" w:fill="auto"/>
            <w:vAlign w:val="center"/>
          </w:tcPr>
          <w:p w14:paraId="2D900EE1">
            <w:pPr>
              <w:jc w:val="center"/>
              <w:rPr>
                <w:rFonts w:ascii="微软雅黑" w:hAnsi="微软雅黑" w:eastAsia="微软雅黑"/>
                <w:sz w:val="18"/>
                <w:szCs w:val="18"/>
                <w:lang w:val="en-US"/>
              </w:rPr>
            </w:pPr>
          </w:p>
        </w:tc>
        <w:tc>
          <w:tcPr>
            <w:tcW w:w="1985" w:type="dxa"/>
            <w:shd w:val="clear" w:color="auto" w:fill="auto"/>
            <w:vAlign w:val="center"/>
          </w:tcPr>
          <w:p w14:paraId="0D814B83">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没有旋涡区</w:t>
            </w:r>
          </w:p>
        </w:tc>
        <w:tc>
          <w:tcPr>
            <w:tcW w:w="1417" w:type="dxa"/>
            <w:vMerge w:val="continue"/>
            <w:shd w:val="clear" w:color="auto" w:fill="auto"/>
            <w:vAlign w:val="center"/>
          </w:tcPr>
          <w:p w14:paraId="4E7FE62B">
            <w:pPr>
              <w:jc w:val="center"/>
              <w:rPr>
                <w:rFonts w:ascii="微软雅黑" w:hAnsi="微软雅黑" w:eastAsia="微软雅黑"/>
                <w:sz w:val="18"/>
                <w:szCs w:val="18"/>
                <w:lang w:val="en-US"/>
              </w:rPr>
            </w:pPr>
          </w:p>
        </w:tc>
        <w:tc>
          <w:tcPr>
            <w:tcW w:w="1276" w:type="dxa"/>
            <w:vMerge w:val="continue"/>
            <w:shd w:val="clear" w:color="auto" w:fill="auto"/>
            <w:vAlign w:val="center"/>
          </w:tcPr>
          <w:p w14:paraId="6CFB51BC">
            <w:pPr>
              <w:jc w:val="center"/>
              <w:rPr>
                <w:rFonts w:ascii="微软雅黑" w:hAnsi="微软雅黑" w:eastAsia="微软雅黑"/>
                <w:sz w:val="18"/>
                <w:szCs w:val="18"/>
                <w:lang w:val="en-US"/>
              </w:rPr>
            </w:pPr>
          </w:p>
        </w:tc>
      </w:tr>
      <w:tr w14:paraId="18DE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4EFC5B60">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126" w:type="dxa"/>
            <w:shd w:val="clear" w:color="auto" w:fill="auto"/>
            <w:vAlign w:val="center"/>
          </w:tcPr>
          <w:p w14:paraId="05B44AEE">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63" w:name="标准要求夏季风压得分"/>
            <w:r>
              <w:rPr>
                <w:rFonts w:hint="eastAsia" w:ascii="微软雅黑" w:hAnsi="微软雅黑" w:eastAsia="微软雅黑"/>
                <w:sz w:val="18"/>
                <w:szCs w:val="18"/>
                <w:lang w:val="en-US"/>
              </w:rPr>
              <w:t>2</w:t>
            </w:r>
            <w:bookmarkEnd w:id="163"/>
            <w:r>
              <w:rPr>
                <w:rFonts w:hint="eastAsia" w:ascii="微软雅黑" w:hAnsi="微软雅黑" w:eastAsia="微软雅黑"/>
                <w:sz w:val="18"/>
                <w:szCs w:val="18"/>
                <w:lang w:val="en-US"/>
              </w:rPr>
              <w:t>分。</w:t>
            </w:r>
          </w:p>
        </w:tc>
        <w:tc>
          <w:tcPr>
            <w:tcW w:w="1985" w:type="dxa"/>
            <w:shd w:val="clear" w:color="auto" w:fill="auto"/>
            <w:vAlign w:val="center"/>
          </w:tcPr>
          <w:p w14:paraId="0A40622E">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64" w:name="夏季窗内外风压差结果"/>
            <w:r>
              <w:rPr>
                <w:rFonts w:hint="eastAsia" w:ascii="微软雅黑" w:hAnsi="微软雅黑" w:eastAsia="微软雅黑"/>
                <w:sz w:val="18"/>
                <w:szCs w:val="18"/>
                <w:lang w:val="en-US"/>
              </w:rPr>
              <w:t>满足</w:t>
            </w:r>
            <w:bookmarkEnd w:id="164"/>
            <w:r>
              <w:rPr>
                <w:rFonts w:hint="eastAsia" w:ascii="微软雅黑" w:hAnsi="微软雅黑" w:eastAsia="微软雅黑"/>
                <w:sz w:val="18"/>
                <w:szCs w:val="18"/>
                <w:lang w:val="en-US"/>
              </w:rPr>
              <w:t>标准要求</w:t>
            </w:r>
          </w:p>
        </w:tc>
        <w:tc>
          <w:tcPr>
            <w:tcW w:w="1417" w:type="dxa"/>
            <w:shd w:val="clear" w:color="auto" w:fill="auto"/>
            <w:vAlign w:val="center"/>
          </w:tcPr>
          <w:p w14:paraId="63129989">
            <w:pPr>
              <w:jc w:val="center"/>
              <w:rPr>
                <w:rFonts w:ascii="微软雅黑" w:hAnsi="微软雅黑" w:eastAsia="微软雅黑"/>
                <w:b/>
                <w:sz w:val="18"/>
                <w:szCs w:val="18"/>
                <w:lang w:val="en-US"/>
              </w:rPr>
            </w:pPr>
            <w:bookmarkStart w:id="165" w:name="夏季窗内外风压差达标判定"/>
            <w:r>
              <w:rPr>
                <w:rFonts w:hint="eastAsia" w:ascii="微软雅黑" w:hAnsi="微软雅黑" w:eastAsia="微软雅黑"/>
                <w:b/>
                <w:sz w:val="18"/>
                <w:szCs w:val="18"/>
                <w:lang w:val="en-US"/>
              </w:rPr>
              <w:t>达标</w:t>
            </w:r>
            <w:bookmarkEnd w:id="165"/>
          </w:p>
        </w:tc>
        <w:tc>
          <w:tcPr>
            <w:tcW w:w="1276" w:type="dxa"/>
            <w:shd w:val="clear" w:color="auto" w:fill="auto"/>
            <w:vAlign w:val="center"/>
          </w:tcPr>
          <w:p w14:paraId="5E93D206">
            <w:pPr>
              <w:jc w:val="center"/>
              <w:rPr>
                <w:rFonts w:ascii="微软雅黑" w:hAnsi="微软雅黑" w:eastAsia="微软雅黑"/>
                <w:sz w:val="18"/>
                <w:szCs w:val="18"/>
                <w:lang w:val="en-US"/>
              </w:rPr>
            </w:pPr>
            <w:bookmarkStart w:id="166" w:name="夏季窗内外风压差得分"/>
            <w:r>
              <w:rPr>
                <w:rFonts w:hint="eastAsia" w:ascii="微软雅黑" w:hAnsi="微软雅黑" w:eastAsia="微软雅黑"/>
                <w:sz w:val="18"/>
                <w:szCs w:val="18"/>
                <w:lang w:val="en-US"/>
              </w:rPr>
              <w:t>2</w:t>
            </w:r>
            <w:bookmarkEnd w:id="166"/>
            <w:r>
              <w:rPr>
                <w:rFonts w:hint="eastAsia" w:ascii="微软雅黑" w:hAnsi="微软雅黑" w:eastAsia="微软雅黑"/>
                <w:sz w:val="18"/>
                <w:szCs w:val="18"/>
                <w:lang w:val="en-US"/>
              </w:rPr>
              <w:t>分</w:t>
            </w:r>
          </w:p>
        </w:tc>
      </w:tr>
    </w:tbl>
    <w:p w14:paraId="5D6302D1">
      <w:pPr>
        <w:rPr>
          <w:rFonts w:ascii="微软雅黑" w:hAnsi="微软雅黑" w:eastAsia="微软雅黑"/>
          <w:szCs w:val="21"/>
          <w:lang w:val="en-US"/>
        </w:rPr>
      </w:pPr>
    </w:p>
    <w:p w14:paraId="257116CE">
      <w:pPr>
        <w:pStyle w:val="3"/>
        <w:ind w:firstLine="420" w:firstLineChars="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67" w:name="总得分"/>
      <w:r>
        <w:rPr>
          <w:rFonts w:hint="eastAsia" w:ascii="微软雅黑" w:hAnsi="微软雅黑" w:eastAsia="微软雅黑"/>
          <w:lang w:val="en-US"/>
        </w:rPr>
        <w:t>8</w:t>
      </w:r>
      <w:bookmarkEnd w:id="167"/>
      <w:r>
        <w:rPr>
          <w:rFonts w:hint="eastAsia" w:ascii="微软雅黑" w:hAnsi="微软雅黑" w:eastAsia="微软雅黑"/>
          <w:lang w:val="en-US"/>
        </w:rPr>
        <w:t>分。</w:t>
      </w:r>
    </w:p>
    <w:p w14:paraId="42A066F2">
      <w:pPr>
        <w:pStyle w:val="2"/>
      </w:pPr>
      <w:bookmarkStart w:id="168" w:name="_Toc2733"/>
      <w:bookmarkStart w:id="169" w:name="附录"/>
      <w:r>
        <w:rPr>
          <w:rFonts w:hint="eastAsia"/>
        </w:rPr>
        <w:t>附录</w:t>
      </w:r>
      <w:bookmarkEnd w:id="168"/>
    </w:p>
    <w:p w14:paraId="6A2FF197">
      <w:pPr>
        <w:pStyle w:val="4"/>
      </w:pPr>
      <w:bookmarkStart w:id="170" w:name="_Toc26597"/>
      <w:r>
        <w:rPr>
          <w:rFonts w:hint="eastAsia"/>
        </w:rPr>
        <w:t>参评建筑迎背风面窗平均风压差表</w:t>
      </w:r>
      <w:bookmarkEnd w:id="170"/>
    </w:p>
    <w:p w14:paraId="5DD0546F">
      <w:pPr>
        <w:jc w:val="center"/>
        <w:rPr>
          <w:sz w:val="18"/>
          <w:szCs w:val="18"/>
        </w:rPr>
      </w:pPr>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7.1</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1</w:t>
      </w:r>
      <w:r>
        <w:rPr>
          <w:sz w:val="18"/>
          <w:szCs w:val="18"/>
        </w:rPr>
        <w:fldChar w:fldCharType="end"/>
      </w:r>
      <w:r>
        <w:rPr>
          <w:sz w:val="18"/>
          <w:szCs w:val="18"/>
        </w:rPr>
        <w:t xml:space="preserve">  </w:t>
      </w:r>
      <w:r>
        <w:rPr>
          <w:rFonts w:hint="eastAsia"/>
          <w:sz w:val="18"/>
          <w:szCs w:val="18"/>
        </w:rPr>
        <w:t>建筑</w:t>
      </w:r>
      <w:r>
        <w:rPr>
          <w:sz w:val="18"/>
          <w:szCs w:val="18"/>
        </w:rPr>
        <w:t>-单体</w:t>
      </w:r>
      <w:bookmarkEnd w:id="1"/>
      <w:r>
        <w:rPr>
          <w:rFonts w:hint="eastAsia"/>
          <w:sz w:val="18"/>
          <w:szCs w:val="18"/>
        </w:rPr>
        <w:t>迎背风面窗平均风压差表</w:t>
      </w:r>
    </w:p>
    <w:tbl>
      <w:tblPr>
        <w:tblStyle w:val="28"/>
        <w:tblW w:w="82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9"/>
        <w:gridCol w:w="2410"/>
        <w:gridCol w:w="2278"/>
        <w:gridCol w:w="2420"/>
      </w:tblGrid>
      <w:tr w14:paraId="34E39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shd w:val="clear" w:color="auto" w:fill="E6E6E6"/>
            <w:vAlign w:val="center"/>
          </w:tcPr>
          <w:p w14:paraId="0FE56B76">
            <w:pPr>
              <w:jc w:val="center"/>
              <w:rPr>
                <w:b/>
                <w:sz w:val="18"/>
                <w:szCs w:val="18"/>
                <w:lang w:val="en-US"/>
              </w:rPr>
            </w:pPr>
            <w:r>
              <w:rPr>
                <w:rFonts w:hint="eastAsia"/>
                <w:b/>
                <w:sz w:val="18"/>
                <w:szCs w:val="18"/>
                <w:lang w:val="en-US"/>
              </w:rPr>
              <w:t>区域</w:t>
            </w:r>
          </w:p>
        </w:tc>
        <w:tc>
          <w:tcPr>
            <w:tcW w:w="2410" w:type="dxa"/>
            <w:shd w:val="clear" w:color="auto" w:fill="E6E6E6"/>
            <w:vAlign w:val="center"/>
          </w:tcPr>
          <w:p w14:paraId="78FF1E19">
            <w:pPr>
              <w:jc w:val="center"/>
              <w:rPr>
                <w:b/>
                <w:sz w:val="18"/>
                <w:szCs w:val="18"/>
                <w:lang w:val="en-US"/>
              </w:rPr>
            </w:pPr>
            <w:r>
              <w:rPr>
                <w:rFonts w:hint="eastAsia"/>
                <w:b/>
                <w:sz w:val="18"/>
                <w:szCs w:val="18"/>
                <w:lang w:val="en-US"/>
              </w:rPr>
              <w:t>迎风面窗平均风压</w:t>
            </w:r>
            <w:r>
              <w:rPr>
                <w:b/>
                <w:sz w:val="18"/>
                <w:szCs w:val="18"/>
                <w:lang w:val="en-US"/>
              </w:rPr>
              <w:t>(Pa)</w:t>
            </w:r>
          </w:p>
        </w:tc>
        <w:tc>
          <w:tcPr>
            <w:tcW w:w="2278" w:type="dxa"/>
            <w:shd w:val="clear" w:color="auto" w:fill="E6E6E6"/>
            <w:vAlign w:val="center"/>
          </w:tcPr>
          <w:p w14:paraId="7DBAFC79">
            <w:pPr>
              <w:jc w:val="center"/>
              <w:rPr>
                <w:b/>
                <w:sz w:val="18"/>
                <w:szCs w:val="18"/>
                <w:lang w:val="en-US"/>
              </w:rPr>
            </w:pPr>
            <w:r>
              <w:rPr>
                <w:rFonts w:hint="eastAsia"/>
                <w:b/>
                <w:sz w:val="18"/>
                <w:szCs w:val="18"/>
                <w:lang w:val="en-US"/>
              </w:rPr>
              <w:t>背风面窗平均风压</w:t>
            </w:r>
            <w:r>
              <w:rPr>
                <w:b/>
                <w:sz w:val="18"/>
                <w:szCs w:val="18"/>
                <w:lang w:val="en-US"/>
              </w:rPr>
              <w:t>(Pa)</w:t>
            </w:r>
          </w:p>
        </w:tc>
        <w:tc>
          <w:tcPr>
            <w:tcW w:w="2420" w:type="dxa"/>
            <w:shd w:val="clear" w:color="auto" w:fill="E6E6E6"/>
            <w:vAlign w:val="center"/>
          </w:tcPr>
          <w:p w14:paraId="3845C340">
            <w:pPr>
              <w:jc w:val="center"/>
              <w:rPr>
                <w:b/>
                <w:sz w:val="18"/>
                <w:szCs w:val="18"/>
                <w:lang w:val="en-US"/>
              </w:rPr>
            </w:pPr>
            <w:r>
              <w:rPr>
                <w:rFonts w:hint="eastAsia"/>
                <w:b/>
                <w:sz w:val="18"/>
                <w:szCs w:val="18"/>
                <w:lang w:val="en-US"/>
              </w:rPr>
              <w:t>迎背风面窗平均风压差</w:t>
            </w:r>
            <w:r>
              <w:rPr>
                <w:b/>
                <w:sz w:val="18"/>
                <w:szCs w:val="18"/>
                <w:lang w:val="en-US"/>
              </w:rPr>
              <w:t>(Pa)</w:t>
            </w:r>
          </w:p>
        </w:tc>
      </w:tr>
      <w:tr w14:paraId="2C5C8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23DFCF6C">
            <w:pPr>
              <w:jc w:val="center"/>
              <w:rPr>
                <w:sz w:val="18"/>
                <w:szCs w:val="18"/>
                <w:lang w:val="en-US"/>
              </w:rPr>
            </w:pPr>
            <w:r>
              <w:rPr>
                <w:rFonts w:hint="eastAsia"/>
                <w:sz w:val="18"/>
                <w:szCs w:val="18"/>
                <w:lang w:val="en-US"/>
              </w:rPr>
              <w:t>1层</w:t>
            </w:r>
          </w:p>
        </w:tc>
        <w:tc>
          <w:tcPr>
            <w:tcW w:w="2410" w:type="dxa"/>
            <w:vAlign w:val="center"/>
          </w:tcPr>
          <w:p w14:paraId="2D12713A">
            <w:pPr>
              <w:jc w:val="center"/>
              <w:rPr>
                <w:sz w:val="18"/>
                <w:szCs w:val="18"/>
                <w:lang w:val="en-US"/>
              </w:rPr>
            </w:pPr>
            <w:r>
              <w:rPr>
                <w:sz w:val="18"/>
                <w:szCs w:val="18"/>
                <w:lang w:val="en-US"/>
              </w:rPr>
              <w:t>2.72</w:t>
            </w:r>
          </w:p>
        </w:tc>
        <w:tc>
          <w:tcPr>
            <w:tcW w:w="2278" w:type="dxa"/>
            <w:vAlign w:val="center"/>
          </w:tcPr>
          <w:p w14:paraId="2B492982">
            <w:pPr>
              <w:jc w:val="center"/>
              <w:rPr>
                <w:sz w:val="18"/>
                <w:szCs w:val="18"/>
                <w:lang w:val="en-US"/>
              </w:rPr>
            </w:pPr>
            <w:r>
              <w:rPr>
                <w:sz w:val="18"/>
                <w:szCs w:val="18"/>
                <w:lang w:val="en-US"/>
              </w:rPr>
              <w:t>-11.17</w:t>
            </w:r>
          </w:p>
        </w:tc>
        <w:tc>
          <w:tcPr>
            <w:tcW w:w="2420" w:type="dxa"/>
            <w:vAlign w:val="center"/>
          </w:tcPr>
          <w:p w14:paraId="7C54FC64">
            <w:pPr>
              <w:jc w:val="center"/>
              <w:rPr>
                <w:sz w:val="18"/>
                <w:szCs w:val="18"/>
                <w:lang w:val="en-US"/>
              </w:rPr>
            </w:pPr>
            <w:r>
              <w:rPr>
                <w:sz w:val="18"/>
                <w:szCs w:val="18"/>
                <w:lang w:val="en-US"/>
              </w:rPr>
              <w:t>13.89</w:t>
            </w:r>
          </w:p>
        </w:tc>
      </w:tr>
      <w:tr w14:paraId="50DAC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1B3A3249">
            <w:pPr>
              <w:jc w:val="center"/>
              <w:rPr>
                <w:sz w:val="18"/>
                <w:szCs w:val="18"/>
                <w:lang w:val="en-US"/>
              </w:rPr>
            </w:pPr>
            <w:r>
              <w:rPr>
                <w:sz w:val="18"/>
                <w:szCs w:val="18"/>
                <w:lang w:val="en-US"/>
              </w:rPr>
              <w:t>2层</w:t>
            </w:r>
          </w:p>
        </w:tc>
        <w:tc>
          <w:tcPr>
            <w:tcW w:w="2410" w:type="dxa"/>
            <w:vAlign w:val="center"/>
          </w:tcPr>
          <w:p w14:paraId="31C7B457">
            <w:pPr>
              <w:jc w:val="center"/>
              <w:rPr>
                <w:sz w:val="18"/>
                <w:szCs w:val="18"/>
                <w:lang w:val="en-US"/>
              </w:rPr>
            </w:pPr>
            <w:r>
              <w:rPr>
                <w:sz w:val="18"/>
                <w:szCs w:val="18"/>
                <w:lang w:val="en-US"/>
              </w:rPr>
              <w:t>10.14</w:t>
            </w:r>
          </w:p>
        </w:tc>
        <w:tc>
          <w:tcPr>
            <w:tcW w:w="2278" w:type="dxa"/>
            <w:vAlign w:val="center"/>
          </w:tcPr>
          <w:p w14:paraId="2C446BD2">
            <w:pPr>
              <w:jc w:val="center"/>
              <w:rPr>
                <w:sz w:val="18"/>
                <w:szCs w:val="18"/>
                <w:lang w:val="en-US"/>
              </w:rPr>
            </w:pPr>
            <w:r>
              <w:rPr>
                <w:sz w:val="18"/>
                <w:szCs w:val="18"/>
                <w:lang w:val="en-US"/>
              </w:rPr>
              <w:t>-18.71</w:t>
            </w:r>
          </w:p>
        </w:tc>
        <w:tc>
          <w:tcPr>
            <w:tcW w:w="2420" w:type="dxa"/>
            <w:vAlign w:val="center"/>
          </w:tcPr>
          <w:p w14:paraId="1F2EC213">
            <w:pPr>
              <w:jc w:val="center"/>
              <w:rPr>
                <w:sz w:val="18"/>
                <w:szCs w:val="18"/>
                <w:lang w:val="en-US"/>
              </w:rPr>
            </w:pPr>
            <w:r>
              <w:rPr>
                <w:sz w:val="18"/>
                <w:szCs w:val="18"/>
                <w:lang w:val="en-US"/>
              </w:rPr>
              <w:t>28.85</w:t>
            </w:r>
          </w:p>
        </w:tc>
      </w:tr>
      <w:tr w14:paraId="26526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49157EDB">
            <w:pPr>
              <w:jc w:val="center"/>
              <w:rPr>
                <w:sz w:val="18"/>
                <w:szCs w:val="18"/>
                <w:lang w:val="en-US"/>
              </w:rPr>
            </w:pPr>
            <w:r>
              <w:rPr>
                <w:rFonts w:hint="eastAsia"/>
                <w:sz w:val="18"/>
                <w:szCs w:val="18"/>
                <w:lang w:val="en-US"/>
              </w:rPr>
              <w:t>3层</w:t>
            </w:r>
          </w:p>
        </w:tc>
        <w:tc>
          <w:tcPr>
            <w:tcW w:w="2410" w:type="dxa"/>
            <w:vAlign w:val="center"/>
          </w:tcPr>
          <w:p w14:paraId="2B09925B">
            <w:pPr>
              <w:jc w:val="center"/>
              <w:rPr>
                <w:sz w:val="18"/>
                <w:szCs w:val="18"/>
                <w:lang w:val="en-US"/>
              </w:rPr>
            </w:pPr>
            <w:r>
              <w:rPr>
                <w:sz w:val="18"/>
                <w:szCs w:val="18"/>
                <w:lang w:val="en-US"/>
              </w:rPr>
              <w:t>10.37</w:t>
            </w:r>
          </w:p>
        </w:tc>
        <w:tc>
          <w:tcPr>
            <w:tcW w:w="2278" w:type="dxa"/>
            <w:vAlign w:val="center"/>
          </w:tcPr>
          <w:p w14:paraId="17DA7523">
            <w:pPr>
              <w:jc w:val="center"/>
              <w:rPr>
                <w:sz w:val="18"/>
                <w:szCs w:val="18"/>
                <w:lang w:val="en-US"/>
              </w:rPr>
            </w:pPr>
            <w:r>
              <w:rPr>
                <w:sz w:val="18"/>
                <w:szCs w:val="18"/>
                <w:lang w:val="en-US"/>
              </w:rPr>
              <w:t>-17.44</w:t>
            </w:r>
          </w:p>
        </w:tc>
        <w:tc>
          <w:tcPr>
            <w:tcW w:w="2420" w:type="dxa"/>
            <w:vAlign w:val="center"/>
          </w:tcPr>
          <w:p w14:paraId="2620FAC7">
            <w:pPr>
              <w:jc w:val="center"/>
              <w:rPr>
                <w:sz w:val="18"/>
                <w:szCs w:val="18"/>
                <w:lang w:val="en-US"/>
              </w:rPr>
            </w:pPr>
            <w:r>
              <w:rPr>
                <w:sz w:val="18"/>
                <w:szCs w:val="18"/>
                <w:lang w:val="en-US"/>
              </w:rPr>
              <w:t>27.81</w:t>
            </w:r>
          </w:p>
        </w:tc>
      </w:tr>
      <w:tr w14:paraId="47E7C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79C8EDAD">
            <w:pPr>
              <w:jc w:val="center"/>
              <w:rPr>
                <w:sz w:val="18"/>
                <w:szCs w:val="18"/>
                <w:lang w:val="en-US"/>
              </w:rPr>
            </w:pPr>
            <w:r>
              <w:rPr>
                <w:rFonts w:hint="eastAsia"/>
                <w:sz w:val="18"/>
                <w:szCs w:val="18"/>
                <w:lang w:val="en-US"/>
              </w:rPr>
              <w:t>整楼</w:t>
            </w:r>
          </w:p>
        </w:tc>
        <w:tc>
          <w:tcPr>
            <w:tcW w:w="2410" w:type="dxa"/>
            <w:vAlign w:val="center"/>
          </w:tcPr>
          <w:p w14:paraId="568986CD">
            <w:pPr>
              <w:jc w:val="center"/>
              <w:rPr>
                <w:sz w:val="18"/>
                <w:szCs w:val="18"/>
                <w:lang w:val="en-US"/>
              </w:rPr>
            </w:pPr>
            <w:r>
              <w:rPr>
                <w:sz w:val="18"/>
                <w:szCs w:val="18"/>
                <w:lang w:val="en-US"/>
              </w:rPr>
              <w:t>9.14</w:t>
            </w:r>
          </w:p>
        </w:tc>
        <w:tc>
          <w:tcPr>
            <w:tcW w:w="2278" w:type="dxa"/>
            <w:vAlign w:val="center"/>
          </w:tcPr>
          <w:p w14:paraId="5C402466">
            <w:pPr>
              <w:jc w:val="center"/>
              <w:rPr>
                <w:sz w:val="18"/>
                <w:szCs w:val="18"/>
                <w:lang w:val="en-US"/>
              </w:rPr>
            </w:pPr>
            <w:r>
              <w:rPr>
                <w:sz w:val="18"/>
                <w:szCs w:val="18"/>
                <w:lang w:val="en-US"/>
              </w:rPr>
              <w:t>-13.50</w:t>
            </w:r>
          </w:p>
        </w:tc>
        <w:tc>
          <w:tcPr>
            <w:tcW w:w="2420" w:type="dxa"/>
            <w:vAlign w:val="center"/>
          </w:tcPr>
          <w:p w14:paraId="5F077AAB">
            <w:pPr>
              <w:jc w:val="center"/>
              <w:rPr>
                <w:sz w:val="18"/>
                <w:szCs w:val="18"/>
                <w:lang w:val="en-US"/>
              </w:rPr>
            </w:pPr>
            <w:r>
              <w:rPr>
                <w:sz w:val="18"/>
                <w:szCs w:val="18"/>
                <w:lang w:val="en-US"/>
              </w:rPr>
              <w:t>22.64</w:t>
            </w:r>
          </w:p>
        </w:tc>
      </w:tr>
      <w:bookmarkEnd w:id="0"/>
      <w:bookmarkEnd w:id="2"/>
    </w:tbl>
    <w:p w14:paraId="688C7B2D"/>
    <w:p w14:paraId="3D0AA34F">
      <w:pPr>
        <w:pStyle w:val="3"/>
        <w:ind w:left="420" w:firstLine="0" w:firstLineChars="0"/>
        <w:rPr>
          <w:rFonts w:ascii="微软雅黑" w:hAnsi="微软雅黑" w:eastAsia="微软雅黑"/>
          <w:lang w:val="en-US"/>
        </w:rPr>
      </w:pPr>
      <w:bookmarkStart w:id="171" w:name="迎风建筑信息参评"/>
      <w:bookmarkEnd w:id="171"/>
    </w:p>
    <w:p w14:paraId="7C746B6D">
      <w:pPr>
        <w:pStyle w:val="4"/>
      </w:pPr>
      <w:bookmarkStart w:id="172" w:name="_Toc5167"/>
      <w:r>
        <w:rPr>
          <w:rFonts w:hint="eastAsia"/>
        </w:rPr>
        <w:t>不参评建筑迎背风面窗平均风压差表</w:t>
      </w:r>
      <w:bookmarkEnd w:id="172"/>
    </w:p>
    <w:p w14:paraId="579A94D7">
      <w:pPr>
        <w:pStyle w:val="3"/>
        <w:ind w:left="420" w:firstLine="0" w:firstLineChars="0"/>
        <w:rPr>
          <w:rFonts w:ascii="微软雅黑" w:hAnsi="微软雅黑" w:eastAsia="微软雅黑"/>
          <w:lang w:val="en-US"/>
        </w:rPr>
      </w:pPr>
      <w:bookmarkStart w:id="173" w:name="迎风建筑信息不参评"/>
      <w:bookmarkEnd w:id="173"/>
    </w:p>
    <w:bookmarkEnd w:id="169"/>
    <w:p w14:paraId="7873A7AA">
      <w:pPr>
        <w:pStyle w:val="3"/>
        <w:ind w:firstLine="0" w:firstLineChars="0"/>
        <w:rPr>
          <w:rFonts w:ascii="微软雅黑" w:hAnsi="微软雅黑" w:eastAsia="微软雅黑"/>
          <w:lang w:val="en-US"/>
        </w:rPr>
      </w:pPr>
      <w:bookmarkStart w:id="174" w:name="_GoBack"/>
      <w:bookmarkEnd w:id="174"/>
    </w:p>
    <w:sectPr>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048F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360952CC">
          <w:pPr>
            <w:pStyle w:val="20"/>
            <w:spacing w:line="360" w:lineRule="exact"/>
            <w:rPr>
              <w:sz w:val="20"/>
              <w:szCs w:val="21"/>
            </w:rPr>
          </w:pPr>
        </w:p>
      </w:tc>
      <w:tc>
        <w:tcPr>
          <w:tcW w:w="2841" w:type="dxa"/>
        </w:tcPr>
        <w:p w14:paraId="3378DFEF">
          <w:pPr>
            <w:pStyle w:val="20"/>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37665161">
          <w:pPr>
            <w:pStyle w:val="20"/>
            <w:spacing w:line="360" w:lineRule="exact"/>
            <w:jc w:val="right"/>
            <w:rPr>
              <w:sz w:val="20"/>
              <w:szCs w:val="21"/>
            </w:rPr>
          </w:pPr>
        </w:p>
      </w:tc>
    </w:tr>
  </w:tbl>
  <w:p w14:paraId="0A04B944">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418C6">
    <w:pPr>
      <w:pStyle w:val="20"/>
      <w:jc w:val="center"/>
      <w:rPr>
        <w:rFonts w:asciiTheme="minorEastAsia" w:hAnsiTheme="minorEastAsia" w:eastAsiaTheme="minorEastAsia"/>
        <w:szCs w:val="21"/>
      </w:rPr>
    </w:pPr>
  </w:p>
  <w:p w14:paraId="7537028C">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DD963">
    <w:pPr>
      <w:pStyle w:val="21"/>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C5594"/>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068B"/>
    <w:rsid w:val="001E133A"/>
    <w:rsid w:val="001F01FD"/>
    <w:rsid w:val="001F2478"/>
    <w:rsid w:val="00201812"/>
    <w:rsid w:val="00201CC8"/>
    <w:rsid w:val="00203163"/>
    <w:rsid w:val="00203A7D"/>
    <w:rsid w:val="00215EBC"/>
    <w:rsid w:val="00217872"/>
    <w:rsid w:val="00217F09"/>
    <w:rsid w:val="0022597C"/>
    <w:rsid w:val="002351B2"/>
    <w:rsid w:val="002431AE"/>
    <w:rsid w:val="00247A93"/>
    <w:rsid w:val="002555B8"/>
    <w:rsid w:val="00256C77"/>
    <w:rsid w:val="00266C7C"/>
    <w:rsid w:val="00284FB2"/>
    <w:rsid w:val="0029328A"/>
    <w:rsid w:val="00295C3C"/>
    <w:rsid w:val="00295D20"/>
    <w:rsid w:val="002A1AF2"/>
    <w:rsid w:val="002A5BD0"/>
    <w:rsid w:val="002A60F5"/>
    <w:rsid w:val="002A6F72"/>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558E1"/>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37F65"/>
    <w:rsid w:val="00453246"/>
    <w:rsid w:val="004556B5"/>
    <w:rsid w:val="0046589C"/>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06186"/>
    <w:rsid w:val="00511D13"/>
    <w:rsid w:val="00512B1A"/>
    <w:rsid w:val="005162D2"/>
    <w:rsid w:val="005215FB"/>
    <w:rsid w:val="005277DE"/>
    <w:rsid w:val="00537CCE"/>
    <w:rsid w:val="00537E4B"/>
    <w:rsid w:val="00540765"/>
    <w:rsid w:val="0054096B"/>
    <w:rsid w:val="00544334"/>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4508"/>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815874"/>
    <w:rsid w:val="008160AB"/>
    <w:rsid w:val="00820783"/>
    <w:rsid w:val="00821D1E"/>
    <w:rsid w:val="00822A7E"/>
    <w:rsid w:val="00823CD7"/>
    <w:rsid w:val="00823E9B"/>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333C"/>
    <w:rsid w:val="00974ECB"/>
    <w:rsid w:val="009812A9"/>
    <w:rsid w:val="00985498"/>
    <w:rsid w:val="009904E5"/>
    <w:rsid w:val="009A2274"/>
    <w:rsid w:val="009A4F1F"/>
    <w:rsid w:val="009C1CEB"/>
    <w:rsid w:val="009D400A"/>
    <w:rsid w:val="009E2DE9"/>
    <w:rsid w:val="009F2CAC"/>
    <w:rsid w:val="00A05B65"/>
    <w:rsid w:val="00A11D6B"/>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137"/>
    <w:rsid w:val="00C67778"/>
    <w:rsid w:val="00C72E58"/>
    <w:rsid w:val="00C73E23"/>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72A7"/>
    <w:rsid w:val="00E90F14"/>
    <w:rsid w:val="00E91EF3"/>
    <w:rsid w:val="00EA5DEE"/>
    <w:rsid w:val="00EB1BD1"/>
    <w:rsid w:val="00EB67C0"/>
    <w:rsid w:val="00EC2DEC"/>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1EEC5594"/>
    <w:rsid w:val="6451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4"/>
    <w:autoRedefine/>
    <w:qFormat/>
    <w:uiPriority w:val="0"/>
    <w:pPr>
      <w:keepNext/>
      <w:numPr>
        <w:ilvl w:val="0"/>
        <w:numId w:val="1"/>
      </w:numPr>
      <w:kinsoku w:val="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5"/>
    <w:autoRedefine/>
    <w:qFormat/>
    <w:uiPriority w:val="0"/>
    <w:pPr>
      <w:keepNext/>
      <w:numPr>
        <w:ilvl w:val="1"/>
        <w:numId w:val="1"/>
      </w:numPr>
      <w:kinsoku w:val="0"/>
      <w:spacing w:before="12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40"/>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4"/>
    <w:qFormat/>
    <w:uiPriority w:val="0"/>
    <w:pPr>
      <w:keepNext/>
      <w:numPr>
        <w:ilvl w:val="3"/>
        <w:numId w:val="1"/>
      </w:numPr>
      <w:spacing w:before="240" w:after="60"/>
      <w:outlineLvl w:val="3"/>
    </w:pPr>
    <w:rPr>
      <w:b/>
      <w:bCs/>
    </w:rPr>
  </w:style>
  <w:style w:type="paragraph" w:styleId="7">
    <w:name w:val="heading 5"/>
    <w:basedOn w:val="1"/>
    <w:next w:val="1"/>
    <w:link w:val="45"/>
    <w:qFormat/>
    <w:uiPriority w:val="0"/>
    <w:pPr>
      <w:numPr>
        <w:ilvl w:val="4"/>
        <w:numId w:val="1"/>
      </w:numPr>
      <w:spacing w:before="240" w:after="60"/>
      <w:outlineLvl w:val="4"/>
    </w:pPr>
    <w:rPr>
      <w:b/>
      <w:bCs/>
      <w:iCs/>
      <w:szCs w:val="26"/>
    </w:rPr>
  </w:style>
  <w:style w:type="paragraph" w:styleId="8">
    <w:name w:val="heading 6"/>
    <w:basedOn w:val="1"/>
    <w:next w:val="1"/>
    <w:link w:val="46"/>
    <w:qFormat/>
    <w:uiPriority w:val="0"/>
    <w:pPr>
      <w:numPr>
        <w:ilvl w:val="5"/>
        <w:numId w:val="1"/>
      </w:numPr>
      <w:spacing w:before="240" w:after="60"/>
      <w:outlineLvl w:val="5"/>
    </w:pPr>
    <w:rPr>
      <w:b/>
      <w:bCs/>
      <w:szCs w:val="22"/>
    </w:rPr>
  </w:style>
  <w:style w:type="paragraph" w:styleId="9">
    <w:name w:val="heading 7"/>
    <w:basedOn w:val="1"/>
    <w:next w:val="1"/>
    <w:link w:val="47"/>
    <w:qFormat/>
    <w:uiPriority w:val="0"/>
    <w:pPr>
      <w:numPr>
        <w:ilvl w:val="6"/>
        <w:numId w:val="1"/>
      </w:numPr>
      <w:spacing w:before="240" w:after="60"/>
      <w:outlineLvl w:val="6"/>
    </w:pPr>
    <w:rPr>
      <w:sz w:val="24"/>
      <w:szCs w:val="24"/>
    </w:rPr>
  </w:style>
  <w:style w:type="paragraph" w:styleId="10">
    <w:name w:val="heading 8"/>
    <w:basedOn w:val="1"/>
    <w:next w:val="1"/>
    <w:link w:val="48"/>
    <w:qFormat/>
    <w:uiPriority w:val="0"/>
    <w:pPr>
      <w:numPr>
        <w:ilvl w:val="7"/>
        <w:numId w:val="1"/>
      </w:numPr>
      <w:spacing w:before="240" w:after="60"/>
      <w:outlineLvl w:val="7"/>
    </w:pPr>
    <w:rPr>
      <w:i/>
      <w:iCs/>
      <w:sz w:val="24"/>
      <w:szCs w:val="24"/>
    </w:rPr>
  </w:style>
  <w:style w:type="paragraph" w:styleId="11">
    <w:name w:val="heading 9"/>
    <w:basedOn w:val="1"/>
    <w:next w:val="1"/>
    <w:link w:val="49"/>
    <w:qFormat/>
    <w:uiPriority w:val="0"/>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7"/>
    <w:basedOn w:val="1"/>
    <w:next w:val="1"/>
    <w:autoRedefine/>
    <w:unhideWhenUsed/>
    <w:qFormat/>
    <w:uiPriority w:val="0"/>
    <w:pPr>
      <w:ind w:left="1260"/>
    </w:pPr>
    <w:rPr>
      <w:rFonts w:asciiTheme="minorHAnsi" w:hAnsiTheme="minorHAnsi" w:cstheme="minorHAnsi"/>
      <w:sz w:val="20"/>
    </w:rPr>
  </w:style>
  <w:style w:type="paragraph" w:styleId="13">
    <w:name w:val="Normal Indent"/>
    <w:basedOn w:val="1"/>
    <w:link w:val="38"/>
    <w:qFormat/>
    <w:uiPriority w:val="0"/>
    <w:pPr>
      <w:adjustRightInd w:val="0"/>
      <w:spacing w:before="50" w:beforeLines="50" w:line="315" w:lineRule="atLeast"/>
      <w:ind w:left="420" w:firstLine="420"/>
      <w:jc w:val="both"/>
      <w:textAlignment w:val="baseline"/>
    </w:pPr>
    <w:rPr>
      <w:rFonts w:ascii="宋体"/>
      <w:lang w:val="en-US"/>
    </w:rPr>
  </w:style>
  <w:style w:type="paragraph" w:styleId="14">
    <w:name w:val="caption"/>
    <w:basedOn w:val="1"/>
    <w:next w:val="1"/>
    <w:unhideWhenUsed/>
    <w:qFormat/>
    <w:uiPriority w:val="0"/>
    <w:rPr>
      <w:rFonts w:ascii="Cambria" w:hAnsi="Cambria" w:eastAsia="黑体"/>
      <w:sz w:val="20"/>
    </w:rPr>
  </w:style>
  <w:style w:type="paragraph" w:styleId="15">
    <w:name w:val="Document Map"/>
    <w:basedOn w:val="1"/>
    <w:link w:val="51"/>
    <w:semiHidden/>
    <w:qFormat/>
    <w:uiPriority w:val="0"/>
    <w:pPr>
      <w:shd w:val="clear" w:color="auto" w:fill="000080"/>
    </w:pPr>
  </w:style>
  <w:style w:type="paragraph" w:styleId="16">
    <w:name w:val="toc 5"/>
    <w:basedOn w:val="1"/>
    <w:next w:val="1"/>
    <w:autoRedefine/>
    <w:unhideWhenUsed/>
    <w:qFormat/>
    <w:uiPriority w:val="0"/>
    <w:pPr>
      <w:ind w:left="840"/>
    </w:pPr>
    <w:rPr>
      <w:rFonts w:asciiTheme="minorHAnsi" w:hAnsiTheme="minorHAnsi" w:cstheme="minorHAnsi"/>
      <w:sz w:val="20"/>
    </w:rPr>
  </w:style>
  <w:style w:type="paragraph" w:styleId="17">
    <w:name w:val="toc 3"/>
    <w:basedOn w:val="1"/>
    <w:next w:val="1"/>
    <w:autoRedefine/>
    <w:qFormat/>
    <w:uiPriority w:val="39"/>
    <w:pPr>
      <w:spacing w:line="400" w:lineRule="exact"/>
      <w:ind w:left="420"/>
    </w:pPr>
  </w:style>
  <w:style w:type="paragraph" w:styleId="18">
    <w:name w:val="toc 8"/>
    <w:basedOn w:val="1"/>
    <w:next w:val="1"/>
    <w:autoRedefine/>
    <w:unhideWhenUsed/>
    <w:qFormat/>
    <w:uiPriority w:val="0"/>
    <w:pPr>
      <w:ind w:left="1470"/>
    </w:pPr>
    <w:rPr>
      <w:rFonts w:asciiTheme="minorHAnsi" w:hAnsiTheme="minorHAnsi" w:cstheme="minorHAnsi"/>
      <w:sz w:val="20"/>
    </w:rPr>
  </w:style>
  <w:style w:type="paragraph" w:styleId="19">
    <w:name w:val="Balloon Text"/>
    <w:basedOn w:val="1"/>
    <w:link w:val="41"/>
    <w:qFormat/>
    <w:uiPriority w:val="0"/>
    <w:rPr>
      <w:sz w:val="18"/>
      <w:szCs w:val="18"/>
    </w:rPr>
  </w:style>
  <w:style w:type="paragraph" w:styleId="20">
    <w:name w:val="footer"/>
    <w:basedOn w:val="1"/>
    <w:link w:val="36"/>
    <w:qFormat/>
    <w:uiPriority w:val="99"/>
    <w:pPr>
      <w:tabs>
        <w:tab w:val="center" w:pos="4153"/>
        <w:tab w:val="right" w:pos="8306"/>
      </w:tabs>
      <w:snapToGrid w:val="0"/>
    </w:pPr>
    <w:rPr>
      <w:szCs w:val="18"/>
    </w:rPr>
  </w:style>
  <w:style w:type="paragraph" w:styleId="21">
    <w:name w:val="header"/>
    <w:basedOn w:val="1"/>
    <w:link w:val="50"/>
    <w:qFormat/>
    <w:uiPriority w:val="0"/>
    <w:pPr>
      <w:pBdr>
        <w:bottom w:val="single" w:color="auto" w:sz="6" w:space="1"/>
      </w:pBdr>
      <w:tabs>
        <w:tab w:val="center" w:pos="4153"/>
        <w:tab w:val="right" w:pos="8306"/>
      </w:tabs>
      <w:snapToGrid w:val="0"/>
      <w:jc w:val="center"/>
    </w:pPr>
    <w:rPr>
      <w:szCs w:val="18"/>
    </w:rPr>
  </w:style>
  <w:style w:type="paragraph" w:styleId="22">
    <w:name w:val="toc 1"/>
    <w:basedOn w:val="1"/>
    <w:next w:val="1"/>
    <w:autoRedefine/>
    <w:qFormat/>
    <w:uiPriority w:val="39"/>
    <w:pPr>
      <w:spacing w:line="400" w:lineRule="exact"/>
    </w:pPr>
    <w:rPr>
      <w:rFonts w:asciiTheme="minorHAnsi" w:hAnsiTheme="minorHAnsi" w:cstheme="minorHAnsi"/>
      <w:b/>
      <w:bCs/>
    </w:rPr>
  </w:style>
  <w:style w:type="paragraph" w:styleId="23">
    <w:name w:val="toc 4"/>
    <w:basedOn w:val="1"/>
    <w:next w:val="1"/>
    <w:autoRedefine/>
    <w:unhideWhenUsed/>
    <w:qFormat/>
    <w:uiPriority w:val="0"/>
    <w:pPr>
      <w:ind w:left="630"/>
    </w:pPr>
    <w:rPr>
      <w:rFonts w:asciiTheme="minorHAnsi" w:hAnsiTheme="minorHAnsi" w:cstheme="minorHAnsi"/>
      <w:sz w:val="20"/>
    </w:rPr>
  </w:style>
  <w:style w:type="paragraph" w:styleId="24">
    <w:name w:val="toc 6"/>
    <w:basedOn w:val="1"/>
    <w:next w:val="1"/>
    <w:autoRedefine/>
    <w:unhideWhenUsed/>
    <w:qFormat/>
    <w:uiPriority w:val="0"/>
    <w:pPr>
      <w:ind w:left="1050"/>
    </w:pPr>
    <w:rPr>
      <w:rFonts w:asciiTheme="minorHAnsi" w:hAnsiTheme="minorHAnsi" w:cstheme="minorHAnsi"/>
      <w:sz w:val="20"/>
    </w:rPr>
  </w:style>
  <w:style w:type="paragraph" w:styleId="25">
    <w:name w:val="toc 2"/>
    <w:basedOn w:val="1"/>
    <w:next w:val="1"/>
    <w:autoRedefine/>
    <w:qFormat/>
    <w:uiPriority w:val="39"/>
    <w:pPr>
      <w:spacing w:line="400" w:lineRule="exact"/>
      <w:ind w:left="210"/>
    </w:pPr>
    <w:rPr>
      <w:rFonts w:asciiTheme="minorHAnsi" w:hAnsiTheme="minorHAnsi" w:cstheme="minorHAnsi"/>
      <w:iCs/>
    </w:rPr>
  </w:style>
  <w:style w:type="paragraph" w:styleId="26">
    <w:name w:val="toc 9"/>
    <w:basedOn w:val="1"/>
    <w:next w:val="1"/>
    <w:autoRedefine/>
    <w:unhideWhenUsed/>
    <w:qFormat/>
    <w:uiPriority w:val="0"/>
    <w:pPr>
      <w:ind w:left="1680"/>
    </w:pPr>
    <w:rPr>
      <w:rFonts w:asciiTheme="minorHAnsi" w:hAnsiTheme="minorHAnsi" w:cstheme="minorHAnsi"/>
      <w:sz w:val="20"/>
    </w:rPr>
  </w:style>
  <w:style w:type="paragraph" w:styleId="27">
    <w:name w:val="Title"/>
    <w:basedOn w:val="1"/>
    <w:next w:val="1"/>
    <w:link w:val="58"/>
    <w:qFormat/>
    <w:uiPriority w:val="0"/>
    <w:pPr>
      <w:jc w:val="center"/>
      <w:outlineLvl w:val="0"/>
    </w:pPr>
    <w:rPr>
      <w:b/>
      <w:bCs/>
      <w:sz w:val="32"/>
      <w:szCs w:val="32"/>
    </w:rPr>
  </w:style>
  <w:style w:type="table" w:styleId="29">
    <w:name w:val="Table Grid"/>
    <w:basedOn w:val="2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unhideWhenUsed/>
    <w:qFormat/>
    <w:uiPriority w:val="99"/>
    <w:rPr>
      <w:color w:val="800080"/>
      <w:u w:val="single"/>
    </w:rPr>
  </w:style>
  <w:style w:type="character" w:styleId="32">
    <w:name w:val="Emphasis"/>
    <w:qFormat/>
    <w:uiPriority w:val="20"/>
    <w:rPr>
      <w:color w:val="CC0000"/>
    </w:rPr>
  </w:style>
  <w:style w:type="character" w:styleId="33">
    <w:name w:val="Hyperlink"/>
    <w:qFormat/>
    <w:uiPriority w:val="99"/>
    <w:rPr>
      <w:color w:val="0000FF"/>
      <w:u w:val="single"/>
    </w:rPr>
  </w:style>
  <w:style w:type="character" w:customStyle="1" w:styleId="34">
    <w:name w:val="标题 1 字符"/>
    <w:link w:val="2"/>
    <w:qFormat/>
    <w:uiPriority w:val="0"/>
    <w:rPr>
      <w:rFonts w:ascii="微软雅黑" w:hAnsi="微软雅黑" w:eastAsia="微软雅黑" w:cs="微软雅黑"/>
      <w:b/>
      <w:bCs/>
      <w:kern w:val="32"/>
      <w:sz w:val="28"/>
      <w:szCs w:val="28"/>
    </w:rPr>
  </w:style>
  <w:style w:type="character" w:customStyle="1" w:styleId="35">
    <w:name w:val="标题 2 字符"/>
    <w:link w:val="4"/>
    <w:qFormat/>
    <w:uiPriority w:val="0"/>
    <w:rPr>
      <w:rFonts w:ascii="微软雅黑" w:hAnsi="微软雅黑" w:eastAsia="微软雅黑" w:cs="微软雅黑"/>
      <w:b/>
      <w:bCs/>
      <w:iCs/>
      <w:color w:val="000000"/>
      <w:sz w:val="24"/>
      <w:szCs w:val="24"/>
    </w:rPr>
  </w:style>
  <w:style w:type="character" w:customStyle="1" w:styleId="36">
    <w:name w:val="页脚 字符"/>
    <w:link w:val="20"/>
    <w:qFormat/>
    <w:uiPriority w:val="99"/>
    <w:rPr>
      <w:sz w:val="21"/>
      <w:szCs w:val="18"/>
      <w:lang w:val="en-GB"/>
    </w:rPr>
  </w:style>
  <w:style w:type="paragraph" w:customStyle="1" w:styleId="37">
    <w:name w:val="lj正文"/>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8">
    <w:name w:val="正文缩进 字符"/>
    <w:link w:val="13"/>
    <w:qFormat/>
    <w:uiPriority w:val="0"/>
    <w:rPr>
      <w:rFonts w:ascii="宋体"/>
      <w:sz w:val="21"/>
    </w:rPr>
  </w:style>
  <w:style w:type="paragraph" w:styleId="39">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40">
    <w:name w:val="标题 3 字符"/>
    <w:link w:val="5"/>
    <w:qFormat/>
    <w:uiPriority w:val="0"/>
    <w:rPr>
      <w:rFonts w:ascii="微软雅黑" w:hAnsi="微软雅黑" w:eastAsia="微软雅黑" w:cs="微软雅黑"/>
      <w:b/>
      <w:bCs/>
      <w:sz w:val="21"/>
      <w:szCs w:val="21"/>
    </w:rPr>
  </w:style>
  <w:style w:type="character" w:customStyle="1" w:styleId="41">
    <w:name w:val="批注框文本 字符"/>
    <w:link w:val="19"/>
    <w:qFormat/>
    <w:uiPriority w:val="0"/>
    <w:rPr>
      <w:sz w:val="18"/>
      <w:szCs w:val="18"/>
      <w:lang w:val="en-GB"/>
    </w:rPr>
  </w:style>
  <w:style w:type="character" w:styleId="42">
    <w:name w:val="Placeholder Text"/>
    <w:semiHidden/>
    <w:qFormat/>
    <w:uiPriority w:val="99"/>
    <w:rPr>
      <w:color w:val="808080"/>
    </w:rPr>
  </w:style>
  <w:style w:type="paragraph" w:styleId="43">
    <w:name w:val="No Spacing"/>
    <w:qFormat/>
    <w:uiPriority w:val="1"/>
    <w:rPr>
      <w:rFonts w:ascii="Times New Roman" w:hAnsi="Times New Roman" w:eastAsia="宋体" w:cs="Times New Roman"/>
      <w:sz w:val="21"/>
      <w:lang w:val="en-GB" w:eastAsia="zh-CN" w:bidi="ar-SA"/>
    </w:rPr>
  </w:style>
  <w:style w:type="character" w:customStyle="1" w:styleId="44">
    <w:name w:val="标题 4 字符"/>
    <w:link w:val="6"/>
    <w:qFormat/>
    <w:uiPriority w:val="0"/>
    <w:rPr>
      <w:rFonts w:ascii="微软雅黑" w:hAnsi="微软雅黑" w:eastAsia="微软雅黑" w:cs="微软雅黑"/>
      <w:b/>
      <w:bCs/>
      <w:sz w:val="21"/>
      <w:szCs w:val="21"/>
      <w:lang w:val="en-GB"/>
    </w:rPr>
  </w:style>
  <w:style w:type="character" w:customStyle="1" w:styleId="45">
    <w:name w:val="标题 5 字符"/>
    <w:link w:val="7"/>
    <w:qFormat/>
    <w:uiPriority w:val="0"/>
    <w:rPr>
      <w:b/>
      <w:bCs/>
      <w:iCs/>
      <w:sz w:val="21"/>
      <w:szCs w:val="26"/>
      <w:lang w:val="en-GB"/>
    </w:rPr>
  </w:style>
  <w:style w:type="character" w:customStyle="1" w:styleId="46">
    <w:name w:val="标题 6 字符"/>
    <w:link w:val="8"/>
    <w:qFormat/>
    <w:uiPriority w:val="0"/>
    <w:rPr>
      <w:b/>
      <w:bCs/>
      <w:sz w:val="21"/>
      <w:szCs w:val="22"/>
      <w:lang w:val="en-GB"/>
    </w:rPr>
  </w:style>
  <w:style w:type="character" w:customStyle="1" w:styleId="47">
    <w:name w:val="标题 7 字符"/>
    <w:link w:val="9"/>
    <w:qFormat/>
    <w:uiPriority w:val="0"/>
    <w:rPr>
      <w:sz w:val="24"/>
      <w:szCs w:val="24"/>
      <w:lang w:val="en-GB"/>
    </w:rPr>
  </w:style>
  <w:style w:type="character" w:customStyle="1" w:styleId="48">
    <w:name w:val="标题 8 字符"/>
    <w:link w:val="10"/>
    <w:qFormat/>
    <w:uiPriority w:val="0"/>
    <w:rPr>
      <w:i/>
      <w:iCs/>
      <w:sz w:val="24"/>
      <w:szCs w:val="24"/>
      <w:lang w:val="en-GB"/>
    </w:rPr>
  </w:style>
  <w:style w:type="character" w:customStyle="1" w:styleId="49">
    <w:name w:val="标题 9 字符"/>
    <w:link w:val="11"/>
    <w:qFormat/>
    <w:uiPriority w:val="0"/>
    <w:rPr>
      <w:rFonts w:ascii="Arial" w:hAnsi="Arial" w:cs="Arial"/>
      <w:sz w:val="22"/>
      <w:szCs w:val="22"/>
      <w:lang w:val="en-GB"/>
    </w:rPr>
  </w:style>
  <w:style w:type="character" w:customStyle="1" w:styleId="50">
    <w:name w:val="页眉 字符"/>
    <w:link w:val="21"/>
    <w:qFormat/>
    <w:uiPriority w:val="0"/>
    <w:rPr>
      <w:sz w:val="21"/>
      <w:szCs w:val="18"/>
      <w:lang w:val="en-GB"/>
    </w:rPr>
  </w:style>
  <w:style w:type="character" w:customStyle="1" w:styleId="51">
    <w:name w:val="文档结构图 字符"/>
    <w:link w:val="15"/>
    <w:semiHidden/>
    <w:qFormat/>
    <w:uiPriority w:val="0"/>
    <w:rPr>
      <w:sz w:val="21"/>
      <w:shd w:val="clear" w:color="auto" w:fill="000080"/>
      <w:lang w:val="en-GB"/>
    </w:rPr>
  </w:style>
  <w:style w:type="character" w:customStyle="1" w:styleId="52">
    <w:name w:val="封面表格 字符"/>
    <w:basedOn w:val="30"/>
    <w:link w:val="53"/>
    <w:qFormat/>
    <w:locked/>
    <w:uiPriority w:val="0"/>
    <w:rPr>
      <w:rFonts w:ascii="微软雅黑" w:hAnsi="微软雅黑" w:eastAsia="微软雅黑" w:cs="微软雅黑"/>
      <w:sz w:val="24"/>
      <w:szCs w:val="24"/>
      <w:lang w:val="en-GB"/>
    </w:rPr>
  </w:style>
  <w:style w:type="paragraph" w:customStyle="1" w:styleId="53">
    <w:name w:val="封面表格"/>
    <w:basedOn w:val="1"/>
    <w:link w:val="52"/>
    <w:qFormat/>
    <w:uiPriority w:val="0"/>
    <w:rPr>
      <w:sz w:val="24"/>
      <w:szCs w:val="24"/>
    </w:rPr>
  </w:style>
  <w:style w:type="character" w:customStyle="1" w:styleId="54">
    <w:name w:val="封面页尾 字符"/>
    <w:basedOn w:val="30"/>
    <w:link w:val="55"/>
    <w:qFormat/>
    <w:locked/>
    <w:uiPriority w:val="0"/>
    <w:rPr>
      <w:rFonts w:ascii="微软雅黑" w:hAnsi="微软雅黑" w:eastAsia="微软雅黑" w:cs="微软雅黑"/>
      <w:sz w:val="18"/>
      <w:lang w:val="en-GB"/>
    </w:rPr>
  </w:style>
  <w:style w:type="paragraph" w:customStyle="1" w:styleId="55">
    <w:name w:val="封面页尾"/>
    <w:basedOn w:val="1"/>
    <w:link w:val="54"/>
    <w:qFormat/>
    <w:uiPriority w:val="0"/>
    <w:pPr>
      <w:spacing w:line="240" w:lineRule="exact"/>
    </w:pPr>
    <w:rPr>
      <w:sz w:val="18"/>
    </w:rPr>
  </w:style>
  <w:style w:type="character" w:customStyle="1" w:styleId="56">
    <w:name w:val="封面信息 字符"/>
    <w:basedOn w:val="52"/>
    <w:link w:val="57"/>
    <w:qFormat/>
    <w:locked/>
    <w:uiPriority w:val="0"/>
    <w:rPr>
      <w:rFonts w:ascii="微软雅黑" w:hAnsi="微软雅黑" w:eastAsia="微软雅黑" w:cs="微软雅黑"/>
      <w:sz w:val="32"/>
      <w:szCs w:val="32"/>
      <w:lang w:val="en-GB"/>
    </w:rPr>
  </w:style>
  <w:style w:type="paragraph" w:customStyle="1" w:styleId="57">
    <w:name w:val="封面信息"/>
    <w:basedOn w:val="53"/>
    <w:link w:val="56"/>
    <w:qFormat/>
    <w:uiPriority w:val="0"/>
    <w:pPr>
      <w:jc w:val="center"/>
    </w:pPr>
    <w:rPr>
      <w:sz w:val="32"/>
      <w:szCs w:val="32"/>
    </w:rPr>
  </w:style>
  <w:style w:type="character" w:customStyle="1" w:styleId="58">
    <w:name w:val="标题 字符"/>
    <w:basedOn w:val="30"/>
    <w:link w:val="27"/>
    <w:qFormat/>
    <w:uiPriority w:val="0"/>
    <w:rPr>
      <w:rFonts w:ascii="微软雅黑" w:hAnsi="微软雅黑" w:eastAsia="微软雅黑" w:cs="微软雅黑"/>
      <w:b/>
      <w:bCs/>
      <w:sz w:val="32"/>
      <w:szCs w:val="32"/>
      <w:lang w:val="en-GB"/>
    </w:rPr>
  </w:style>
  <w:style w:type="paragraph" w:customStyle="1" w:styleId="59">
    <w:name w:val="正文表格"/>
    <w:basedOn w:val="1"/>
    <w:link w:val="60"/>
    <w:autoRedefine/>
    <w:qFormat/>
    <w:uiPriority w:val="0"/>
    <w:pPr>
      <w:spacing w:line="400" w:lineRule="exact"/>
      <w:jc w:val="center"/>
    </w:pPr>
    <w:rPr>
      <w:rFonts w:cs="宋体"/>
      <w:bCs/>
      <w:sz w:val="18"/>
      <w:szCs w:val="18"/>
      <w:lang w:val="en-US"/>
    </w:rPr>
  </w:style>
  <w:style w:type="character" w:customStyle="1" w:styleId="60">
    <w:name w:val="正文表格 字符"/>
    <w:basedOn w:val="30"/>
    <w:link w:val="59"/>
    <w:qFormat/>
    <w:uiPriority w:val="0"/>
    <w:rPr>
      <w:rFonts w:ascii="微软雅黑" w:hAnsi="微软雅黑" w:eastAsia="微软雅黑" w:cs="宋体"/>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numbering" Target="numbering.xml"/><Relationship Id="rId41" Type="http://schemas.openxmlformats.org/officeDocument/2006/relationships/image" Target="media/image29.png"/><Relationship Id="rId40" Type="http://schemas.openxmlformats.org/officeDocument/2006/relationships/image" Target="media/image28.png"/><Relationship Id="rId4" Type="http://schemas.openxmlformats.org/officeDocument/2006/relationships/footer" Target="footer1.xml"/><Relationship Id="rId39" Type="http://schemas.openxmlformats.org/officeDocument/2006/relationships/image" Target="media/image27.png"/><Relationship Id="rId38" Type="http://schemas.openxmlformats.org/officeDocument/2006/relationships/image" Target="media/image26.png"/><Relationship Id="rId37" Type="http://schemas.openxmlformats.org/officeDocument/2006/relationships/image" Target="media/image25.png"/><Relationship Id="rId36" Type="http://schemas.openxmlformats.org/officeDocument/2006/relationships/image" Target="media/image24.png"/><Relationship Id="rId35" Type="http://schemas.openxmlformats.org/officeDocument/2006/relationships/image" Target="media/image23.png"/><Relationship Id="rId34" Type="http://schemas.openxmlformats.org/officeDocument/2006/relationships/image" Target="media/image22.png"/><Relationship Id="rId33" Type="http://schemas.openxmlformats.org/officeDocument/2006/relationships/image" Target="media/image21.png"/><Relationship Id="rId32" Type="http://schemas.openxmlformats.org/officeDocument/2006/relationships/image" Target="media/image20.png"/><Relationship Id="rId31" Type="http://schemas.openxmlformats.org/officeDocument/2006/relationships/image" Target="media/image19.wmf"/><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image" Target="media/image18.wmf"/><Relationship Id="rId28" Type="http://schemas.openxmlformats.org/officeDocument/2006/relationships/oleObject" Target="embeddings/oleObject6.bin"/><Relationship Id="rId27" Type="http://schemas.openxmlformats.org/officeDocument/2006/relationships/image" Target="media/image17.wmf"/><Relationship Id="rId26" Type="http://schemas.openxmlformats.org/officeDocument/2006/relationships/oleObject" Target="embeddings/oleObject5.bin"/><Relationship Id="rId25" Type="http://schemas.openxmlformats.org/officeDocument/2006/relationships/image" Target="media/image16.wmf"/><Relationship Id="rId24" Type="http://schemas.openxmlformats.org/officeDocument/2006/relationships/oleObject" Target="embeddings/oleObject4.bin"/><Relationship Id="rId23" Type="http://schemas.openxmlformats.org/officeDocument/2006/relationships/image" Target="media/image15.wmf"/><Relationship Id="rId22" Type="http://schemas.openxmlformats.org/officeDocument/2006/relationships/oleObject" Target="embeddings/oleObject3.bin"/><Relationship Id="rId21" Type="http://schemas.openxmlformats.org/officeDocument/2006/relationships/image" Target="media/image14.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3.wmf"/><Relationship Id="rId18" Type="http://schemas.openxmlformats.org/officeDocument/2006/relationships/oleObject" Target="embeddings/oleObject1.bin"/><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040\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AC67-D4A4-4AE0-8FC5-9FCDA0AF33FB}">
  <ds:schemaRefs/>
</ds:datastoreItem>
</file>

<file path=docProps/app.xml><?xml version="1.0" encoding="utf-8"?>
<Properties xmlns="http://schemas.openxmlformats.org/officeDocument/2006/extended-properties" xmlns:vt="http://schemas.openxmlformats.org/officeDocument/2006/docPropsVTypes">
  <Template>tmp5.dotx</Template>
  <Pages>28</Pages>
  <Words>7763</Words>
  <Characters>8894</Characters>
  <Lines>47</Lines>
  <Paragraphs>13</Paragraphs>
  <TotalTime>21</TotalTime>
  <ScaleCrop>false</ScaleCrop>
  <LinksUpToDate>false</LinksUpToDate>
  <CharactersWithSpaces>11264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2025-12-20T09:48:00Z</dcterms:created>
  <dc:creator>Chenxy.</dc:creator>
  <cp:lastModifiedBy>Chenxy.</cp:lastModifiedBy>
  <dcterms:modified xsi:type="dcterms:W3CDTF">2025-12-20T10:10:14Z</dcterms:modified>
  <dc:title>室外风环境模拟分析报告</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E545B10FA8554338B35A4C969B98DC04_11</vt:lpwstr>
  </property>
  <property fmtid="{D5CDD505-2E9C-101B-9397-08002B2CF9AE}" pid="4" name="KSOTemplateDocerSaveRecord">
    <vt:lpwstr>eyJoZGlkIjoiYTMxMTAwNmE4OTIwYzM3YTcwOTMwZWFmNDg5NTdhNmIiLCJ1c2VySWQiOiIyNjI2ODYyNzMifQ==</vt:lpwstr>
  </property>
</Properties>
</file>