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绿境教苑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 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围护结构热工性能的提高比例，或建筑供暖空调负荷降低比例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绿色建材应用比例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碳减排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20.35%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外窗气密性能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符合国家现行相关节能设计标准的规定，且外窗洞口与外窗本体的结合部位应严密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97.0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82.0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49.0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141.0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75.0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总得分：Q=（Q0+Q1+Q2+Q3+Q4+Q5+QA）/10=94.4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314824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31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965985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96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场地应避开滑坡、泥石流等地质危险地段，易发生洪涝地区应有可靠的防洪涝基础设施；场地应无危险化学品、易燃易爆危险源的威胁，应无电磁辐射、含氡土壤的危害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建筑结构应满足承载力和建筑使用功能要求。建筑外墙、屋面、门窗、幕墙及外保温等围护结构应满足安全、耐久和防护的要求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外遮阳、太阳能设施、空调室外机位、外墙花池等外部设施应与建筑主体结构统一设计、施工，并应具备安装、检修与维护条件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建筑内部的非结构件、设备及附属设施等应连接牢固并能适应主体结构变形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建筑外门窗必须安装牢固，其抗风压性能和水密性能应符合国家现行有关标准的规定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卫生间、浴室的地面应设置防水层，墙面、顶棚应设置防潮层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走廊、疏散通道等通行空间应满足紧急疏散、应急救护等要求，且应保持畅通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应具有安全防护的警示和引导标识相统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安全耐久相关技术要求应符合现行强制性工程建设规范《工程结构通用规范》GB 55001、《建筑与市政工程抗震通用规范》GB55002、《建筑与市政地基基础通用规范》GB 55003、《组合结构通用规范》GB 55004、《木结构通用规范》GB 55005、《钢结构通用规范》GB 55006、《砌体结构通用规范》GB 55007、《混凝土结构通用规范》GB 55008、《燃气工程项目规范》GB 55009、《供热工程项目规范》GB 55010、《建筑环境通用规范》GB 55016、《建筑给水排水与节水通用规范》GB 55020、《民用建筑通用规范》GB 55031、《建筑防火通用规范》GB 55037等的规定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采用基于性能的抗震设计并合理提高建筑的抗震性能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采取保障人员安全的防护措施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采用具有安全防护功能的产品或配件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室内外地面或路面设置防滑措施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采取人车分流措施，且步行和自行车交通系统有充足照明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采取提升建筑适变性的措施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采取提升建筑部品部件耐久性的措施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提高建筑结构材料的耐久性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合理采用耐久性好、易维护的装饰装修建筑材料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6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97.0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