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E6935">
      <w:r>
        <w:drawing>
          <wp:inline distT="0" distB="0" distL="114300" distR="114300">
            <wp:extent cx="5272405" cy="2353945"/>
            <wp:effectExtent l="0" t="0" r="1079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EAC1F">
      <w:r>
        <w:drawing>
          <wp:inline distT="0" distB="0" distL="114300" distR="114300">
            <wp:extent cx="5268595" cy="3114675"/>
            <wp:effectExtent l="0" t="0" r="190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2F8B9">
      <w:r>
        <w:drawing>
          <wp:inline distT="0" distB="0" distL="114300" distR="114300">
            <wp:extent cx="5269230" cy="3218180"/>
            <wp:effectExtent l="0" t="0" r="127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1AE0F"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新建筑采用装配式体系，通过模块化墙体、预制楼板、可拆卸节点降低碳排放 30% 以上。装配构件以“妆”的概念介入旧城——轻触、覆盖、缝合，而非粗暴替换。</w:t>
      </w:r>
    </w:p>
    <w:p w14:paraId="30107AD8"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1.建筑主体平面部分采用7.2M*7.2M为一个模块，立面采用7.2m*3.6m和7.2m*3.2m为外墙单元外挂于主体结构之上。</w:t>
      </w:r>
    </w:p>
    <w:p w14:paraId="39E37F5C"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2.通过外墙模块单元的镜像变化，使均一的立面呈现出灵活的韵律感。</w:t>
      </w:r>
    </w:p>
    <w:p w14:paraId="5ACD10A0">
      <w:pPr>
        <w:ind w:firstLine="420" w:firstLineChars="2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2026-01-04T03:01:43Z</dcterms:created>
  <dc:creator>11422</dc:creator>
  <cp:lastModifiedBy>Saccharin</cp:lastModifiedBy>
  <dcterms:modified xsi:type="dcterms:W3CDTF">2026-01-04T03:26:02Z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eyJoZGlkIjoiN2UwODUxOGYzNWIyMjE1OWFlM2U0ODI2Zjg1NTJlOTgiLCJ1c2VySWQiOiI3NjQ5NDI5ODQifQ==</vt:lpwstr>
  </property>
  <property fmtid="{D5CDD505-2E9C-101B-9397-08002B2CF9AE}" pid="4" name="ICV">
    <vt:lpwstr>A969FFD503CD4171A570831103B63936_12</vt:lpwstr>
  </property>
</Properties>
</file>