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91" w:name="_GoBack"/>
      <w:bookmarkEnd w:id="91"/>
    </w:p>
    <w:p>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180"/>
      </w:tblGrid>
      <w:tr>
        <w:trPr>
          <w:trHeight w:val="2025" w:hRule="atLeast"/>
          <w:jc w:val="center"/>
        </w:trPr>
        <w:tc>
          <w:tcPr>
            <w:tcW w:w="9180" w:type="dxa"/>
            <w:shd w:val="clear" w:color="auto" w:fill="auto"/>
            <w:vAlign w:val="center"/>
          </w:tcPr>
          <w:p>
            <w:pPr>
              <w:jc w:val="center"/>
              <w:rPr>
                <w:rFonts w:cs="Times New Roman"/>
                <w:b/>
                <w:spacing w:val="45"/>
                <w:sz w:val="30"/>
                <w:szCs w:val="30"/>
              </w:rPr>
            </w:pPr>
            <w:bookmarkStart w:id="1" w:name="_Hlk172625491"/>
          </w:p>
          <w:p>
            <w:pPr>
              <w:jc w:val="center"/>
              <w:rPr>
                <w:rFonts w:cs="Times New Roman"/>
                <w:b/>
                <w:spacing w:val="45"/>
                <w:sz w:val="30"/>
                <w:szCs w:val="30"/>
              </w:rPr>
            </w:pPr>
          </w:p>
          <w:p>
            <w:pPr>
              <w:jc w:val="distribute"/>
              <w:rPr>
                <w:rFonts w:cs="Times New Roman"/>
                <w:b/>
                <w:sz w:val="72"/>
                <w:szCs w:val="52"/>
              </w:rPr>
            </w:pPr>
            <w:r>
              <w:rPr>
                <w:rFonts w:hint="eastAsia" w:cs="Times New Roman"/>
                <w:b/>
                <w:spacing w:val="100"/>
                <w:kern w:val="0"/>
                <w:sz w:val="72"/>
                <w:szCs w:val="52"/>
                <w:fitText w:val="9000" w:id="0"/>
              </w:rPr>
              <w:t>公共建筑内区采光报</w:t>
            </w:r>
            <w:r>
              <w:rPr>
                <w:rFonts w:hint="eastAsia" w:cs="Times New Roman"/>
                <w:b/>
                <w:spacing w:val="0"/>
                <w:kern w:val="0"/>
                <w:sz w:val="72"/>
                <w:szCs w:val="52"/>
                <w:fitText w:val="9000" w:id="0"/>
              </w:rPr>
              <w:t>告</w:t>
            </w:r>
          </w:p>
        </w:tc>
      </w:tr>
      <w:tr>
        <w:tblPrEx>
          <w:tblCellMar>
            <w:top w:w="0" w:type="dxa"/>
            <w:left w:w="108" w:type="dxa"/>
            <w:bottom w:w="0" w:type="dxa"/>
            <w:right w:w="108" w:type="dxa"/>
          </w:tblCellMar>
        </w:tblPrEx>
        <w:trPr>
          <w:jc w:val="center"/>
        </w:trPr>
        <w:tc>
          <w:tcPr>
            <w:tcW w:w="9180" w:type="dxa"/>
            <w:shd w:val="clear" w:color="auto" w:fill="auto"/>
          </w:tcPr>
          <w:p>
            <w:pPr>
              <w:spacing w:before="312" w:beforeLines="100"/>
              <w:jc w:val="center"/>
              <w:rPr>
                <w:rFonts w:cs="Times New Roman"/>
                <w:b/>
                <w:sz w:val="36"/>
                <w:szCs w:val="36"/>
              </w:rPr>
            </w:pPr>
            <w:bookmarkStart w:id="2" w:name="工程名称"/>
            <w:bookmarkEnd w:id="2"/>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r>
              <w:rPr>
                <w:rFonts w:hint="eastAsia" w:cs="Times New Roman"/>
                <w:b/>
                <w:sz w:val="32"/>
                <w:szCs w:val="52"/>
              </w:rPr>
              <w:t>设计编号：</w:t>
            </w:r>
            <w:bookmarkStart w:id="3" w:name="设计编号"/>
            <w:bookmarkEnd w:id="3"/>
          </w:p>
          <w:p>
            <w:pPr>
              <w:jc w:val="center"/>
              <w:rPr>
                <w:rFonts w:cs="Times New Roman"/>
                <w:b/>
                <w:sz w:val="32"/>
                <w:szCs w:val="52"/>
              </w:rPr>
            </w:pPr>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bookmarkStart w:id="4" w:name="二维码"/>
            <w:bookmarkEnd w:id="4"/>
          </w:p>
        </w:tc>
      </w:tr>
    </w:tbl>
    <w:p>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cs="Times New Roman"/>
          <w:szCs w:val="18"/>
        </w:rPr>
      </w:pPr>
    </w:p>
    <w:p>
      <w:pPr>
        <w:jc w:val="center"/>
        <w:rPr>
          <w:rFonts w:cs="Times New Roman"/>
          <w:szCs w:val="18"/>
        </w:rPr>
      </w:pPr>
    </w:p>
    <w:bookmarkEnd w:id="1"/>
    <w:p>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5" w:name="项目地点1"/>
            <w:r>
              <w:rPr>
                <w:rFonts w:hint="eastAsia" w:cs="Times New Roman"/>
                <w:sz w:val="24"/>
                <w:szCs w:val="24"/>
              </w:rPr>
              <w:t>赣州</w:t>
            </w:r>
            <w:bookmarkEnd w:id="5"/>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6" w:name="建设单位"/>
            <w:bookmarkEnd w:id="6"/>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7" w:name="设计单位"/>
            <w:bookmarkEnd w:id="7"/>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8" w:name="计算日期"/>
            <w:r>
              <w:rPr>
                <w:rFonts w:hint="eastAsia" w:cs="Times New Roman"/>
                <w:sz w:val="24"/>
                <w:szCs w:val="24"/>
              </w:rPr>
              <w:t>2026年1月2日</w:t>
            </w:r>
            <w:bookmarkEnd w:id="8"/>
          </w:p>
        </w:tc>
      </w:tr>
    </w:tbl>
    <w:p>
      <w:pPr>
        <w:rPr>
          <w:rFonts w:cs="Times New Roman"/>
          <w:szCs w:val="18"/>
        </w:rPr>
      </w:pPr>
    </w:p>
    <w:p>
      <w:pPr>
        <w:rPr>
          <w:rFonts w:cs="Times New Roman"/>
          <w:szCs w:val="18"/>
        </w:rPr>
      </w:pPr>
    </w:p>
    <w:p>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T17878579624</w:t>
            </w:r>
            <w:bookmarkEnd w:id="11"/>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bookmarkEnd w:id="0"/>
    </w:tbl>
    <w:p>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pPr>
        <w:pStyle w:val="19"/>
        <w:tabs>
          <w:tab w:val="clear" w:pos="180"/>
        </w:tabs>
        <w:rPr>
          <w:rFonts w:cs="Times New Roman"/>
          <w:b w:val="0"/>
          <w:bCs w:val="0"/>
          <w:sz w:val="28"/>
          <w:szCs w:val="28"/>
        </w:rPr>
      </w:pPr>
    </w:p>
    <w:p>
      <w:pPr>
        <w:ind w:right="-2"/>
        <w:jc w:val="center"/>
        <w:rPr>
          <w:rFonts w:cs="Times New Roman"/>
          <w:sz w:val="28"/>
          <w:szCs w:val="28"/>
        </w:rPr>
      </w:pPr>
      <w:bookmarkStart w:id="12" w:name="目录"/>
      <w:r>
        <w:rPr>
          <w:rFonts w:hint="eastAsia"/>
          <w:sz w:val="28"/>
          <w:szCs w:val="28"/>
        </w:rPr>
        <w:t>目  录</w:t>
      </w:r>
    </w:p>
    <w:p>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_Toc26357 </w:instrText>
      </w:r>
      <w:r>
        <w:rPr>
          <w:rFonts w:hint="eastAsia"/>
        </w:rPr>
        <w:fldChar w:fldCharType="separate"/>
      </w:r>
      <w:r>
        <w:rPr>
          <w:rFonts w:hint="eastAsia"/>
        </w:rPr>
        <w:t>1. 建筑概况</w:t>
      </w:r>
      <w:r>
        <w:tab/>
      </w:r>
      <w:r>
        <w:fldChar w:fldCharType="begin"/>
      </w:r>
      <w:r>
        <w:instrText xml:space="preserve"> PAGEREF _Toc26357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_Toc19650 </w:instrText>
      </w:r>
      <w:r>
        <w:rPr>
          <w:rFonts w:hint="eastAsia"/>
        </w:rPr>
        <w:fldChar w:fldCharType="separate"/>
      </w:r>
      <w:r>
        <w:rPr>
          <w:rFonts w:hint="eastAsia"/>
        </w:rPr>
        <w:t>2. 设计依据</w:t>
      </w:r>
      <w:r>
        <w:tab/>
      </w:r>
      <w:r>
        <w:fldChar w:fldCharType="begin"/>
      </w:r>
      <w:r>
        <w:instrText xml:space="preserve"> PAGEREF _Toc19650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_Toc14555 </w:instrText>
      </w:r>
      <w:r>
        <w:rPr>
          <w:rFonts w:hint="eastAsia"/>
        </w:rPr>
        <w:fldChar w:fldCharType="separate"/>
      </w:r>
      <w:r>
        <w:rPr>
          <w:rFonts w:hint="eastAsia"/>
        </w:rPr>
        <w:t>3. 分析</w:t>
      </w:r>
      <w:r>
        <w:t>目的</w:t>
      </w:r>
      <w:r>
        <w:tab/>
      </w:r>
      <w:r>
        <w:fldChar w:fldCharType="begin"/>
      </w:r>
      <w:r>
        <w:instrText xml:space="preserve"> PAGEREF _Toc14555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_Toc29249 </w:instrText>
      </w:r>
      <w:r>
        <w:rPr>
          <w:rFonts w:hint="eastAsia"/>
        </w:rPr>
        <w:fldChar w:fldCharType="separate"/>
      </w:r>
      <w:r>
        <w:rPr>
          <w:rFonts w:hint="eastAsia"/>
        </w:rPr>
        <w:t>4. 标准</w:t>
      </w:r>
      <w:r>
        <w:t>要求</w:t>
      </w:r>
      <w:r>
        <w:tab/>
      </w:r>
      <w:r>
        <w:fldChar w:fldCharType="begin"/>
      </w:r>
      <w:r>
        <w:instrText xml:space="preserve"> PAGEREF _Toc29249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_Toc2671 </w:instrText>
      </w:r>
      <w:r>
        <w:rPr>
          <w:rFonts w:hint="eastAsia"/>
        </w:rPr>
        <w:fldChar w:fldCharType="separate"/>
      </w:r>
      <w:r>
        <w:rPr>
          <w:rFonts w:hint="eastAsia"/>
        </w:rPr>
        <w:t>5. 采光分析</w:t>
      </w:r>
      <w:r>
        <w:t>概述</w:t>
      </w:r>
      <w:r>
        <w:tab/>
      </w:r>
      <w:r>
        <w:fldChar w:fldCharType="begin"/>
      </w:r>
      <w:r>
        <w:instrText xml:space="preserve"> PAGEREF _Toc2671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_Toc31865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_Toc31865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_Toc8073 </w:instrText>
      </w:r>
      <w:r>
        <w:rPr>
          <w:rFonts w:hint="eastAsia"/>
        </w:rPr>
        <w:fldChar w:fldCharType="separate"/>
      </w:r>
      <w:r>
        <w:rPr>
          <w:rFonts w:hint="eastAsia"/>
          <w:lang w:val="en-GB"/>
        </w:rPr>
        <w:t xml:space="preserve">5.2 </w:t>
      </w:r>
      <w:r>
        <w:t>分析软件</w:t>
      </w:r>
      <w:r>
        <w:tab/>
      </w:r>
      <w:r>
        <w:fldChar w:fldCharType="begin"/>
      </w:r>
      <w:r>
        <w:instrText xml:space="preserve"> PAGEREF _Toc8073 </w:instrText>
      </w:r>
      <w:r>
        <w:fldChar w:fldCharType="separate"/>
      </w:r>
      <w:r>
        <w:t>5</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_Toc4091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_Toc4091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_Toc8754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_Toc8754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_Toc12186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_Toc12186 </w:instrText>
      </w:r>
      <w:r>
        <w:fldChar w:fldCharType="separate"/>
      </w:r>
      <w:r>
        <w:t>6</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_Toc12077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_Toc12077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_Toc7489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_Toc7489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_Toc8202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_Toc8202 </w:instrText>
      </w:r>
      <w:r>
        <w:fldChar w:fldCharType="separate"/>
      </w:r>
      <w:r>
        <w:t>6</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_Toc13903 </w:instrText>
      </w:r>
      <w:r>
        <w:rPr>
          <w:rFonts w:hint="eastAsia"/>
        </w:rPr>
        <w:fldChar w:fldCharType="separate"/>
      </w:r>
      <w:r>
        <w:rPr>
          <w:rFonts w:hint="eastAsia"/>
        </w:rPr>
        <w:t>7. 分析统计结果</w:t>
      </w:r>
      <w:r>
        <w:tab/>
      </w:r>
      <w:r>
        <w:fldChar w:fldCharType="begin"/>
      </w:r>
      <w:r>
        <w:instrText xml:space="preserve"> PAGEREF _Toc13903 </w:instrText>
      </w:r>
      <w:r>
        <w:fldChar w:fldCharType="separate"/>
      </w:r>
      <w:r>
        <w:t>7</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_Toc18068 </w:instrText>
      </w:r>
      <w:r>
        <w:rPr>
          <w:rFonts w:hint="eastAsia"/>
        </w:rPr>
        <w:fldChar w:fldCharType="separate"/>
      </w:r>
      <w:r>
        <w:rPr>
          <w:rFonts w:hint="eastAsia"/>
        </w:rPr>
        <w:t>8. 达标率彩图</w:t>
      </w:r>
      <w:r>
        <w:tab/>
      </w:r>
      <w:r>
        <w:fldChar w:fldCharType="begin"/>
      </w:r>
      <w:r>
        <w:instrText xml:space="preserve"> PAGEREF _Toc18068 </w:instrText>
      </w:r>
      <w:r>
        <w:fldChar w:fldCharType="separate"/>
      </w:r>
      <w:r>
        <w:t>7</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_Toc20412 </w:instrText>
      </w:r>
      <w:r>
        <w:rPr>
          <w:rFonts w:hint="eastAsia"/>
        </w:rPr>
        <w:fldChar w:fldCharType="separate"/>
      </w:r>
      <w:r>
        <w:rPr>
          <w:rFonts w:hint="eastAsia"/>
        </w:rPr>
        <w:t>9. 评价结论</w:t>
      </w:r>
      <w:r>
        <w:tab/>
      </w:r>
      <w:r>
        <w:fldChar w:fldCharType="begin"/>
      </w:r>
      <w:r>
        <w:instrText xml:space="preserve"> PAGEREF _Toc20412 </w:instrText>
      </w:r>
      <w:r>
        <w:fldChar w:fldCharType="separate"/>
      </w:r>
      <w:r>
        <w:t>10</w:t>
      </w:r>
      <w:r>
        <w:fldChar w:fldCharType="end"/>
      </w:r>
      <w:r>
        <w:rPr>
          <w:rFonts w:hint="eastAsia"/>
        </w:rPr>
        <w:fldChar w:fldCharType="end"/>
      </w:r>
    </w:p>
    <w:p>
      <w:pPr>
        <w:rPr>
          <w:rFonts w:cs="Times New Roman"/>
          <w:sz w:val="28"/>
          <w:szCs w:val="28"/>
        </w:rPr>
      </w:pPr>
      <w:r>
        <w:rPr>
          <w:rFonts w:hint="eastAsia"/>
        </w:rPr>
        <w:fldChar w:fldCharType="end"/>
      </w:r>
      <w:bookmarkEnd w:id="12"/>
    </w:p>
    <w:p>
      <w:pPr>
        <w:pStyle w:val="3"/>
        <w:tabs>
          <w:tab w:val="left" w:pos="3450"/>
        </w:tabs>
        <w:ind w:firstLine="420"/>
        <w:rPr>
          <w:lang w:val="en-US"/>
        </w:rPr>
      </w:pPr>
    </w:p>
    <w:p>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pPr>
        <w:pStyle w:val="2"/>
      </w:pPr>
      <w:bookmarkStart w:id="13" w:name="_Toc2635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4" w:name="项目地点"/>
            <w:r>
              <w:rPr>
                <w:rFonts w:hint="eastAsia"/>
                <w:lang w:val="en-US"/>
              </w:rPr>
              <w:t>赣州</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5" w:name="光气候分区"/>
            <w:r>
              <w:rPr>
                <w:lang w:val="en-US"/>
              </w:rPr>
              <w:t>IV</w:t>
            </w:r>
            <w:bookmarkEnd w:id="15"/>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6" w:name="光气候系数K"/>
            <w:r>
              <w:rPr>
                <w:lang w:val="en-US"/>
              </w:rPr>
              <w:t>1.10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7" w:name="地上建筑面积"/>
            <w:r>
              <w:rPr>
                <w:lang w:val="en-US"/>
              </w:rPr>
              <w:t>9515.54</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9" w:name="地上建筑层数"/>
            <w:r>
              <w:rPr>
                <w:lang w:val="en-US"/>
              </w:rPr>
              <w:t>4</w:t>
            </w:r>
            <w:bookmarkEnd w:id="19"/>
            <w:r>
              <w:rPr>
                <w:rFonts w:hint="eastAsia"/>
                <w:lang w:val="en-US"/>
              </w:rPr>
              <w:t xml:space="preserve">          地下 </w:t>
            </w:r>
            <w:bookmarkStart w:id="20" w:name="地下建筑层数"/>
            <w:r>
              <w:rPr>
                <w:lang w:val="en-US"/>
              </w:rPr>
              <w:t>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21" w:name="地上建筑高度"/>
            <w:r>
              <w:rPr>
                <w:lang w:val="en-US"/>
              </w:rPr>
              <w:t>19.20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3" w:name="备注"/>
            <w:bookmarkEnd w:id="23"/>
          </w:p>
        </w:tc>
      </w:tr>
    </w:tbl>
    <w:p>
      <w:pPr>
        <w:jc w:val="center"/>
      </w:pPr>
    </w:p>
    <w:p>
      <w:pPr>
        <w:pStyle w:val="2"/>
      </w:pPr>
      <w:bookmarkStart w:id="24" w:name="_Toc19650"/>
      <w:r>
        <w:rPr>
          <w:rFonts w:hint="eastAsia"/>
        </w:rPr>
        <w:t>设计依据</w:t>
      </w:r>
      <w:bookmarkEnd w:id="24"/>
    </w:p>
    <w:p>
      <w:pPr>
        <w:numPr>
          <w:ilvl w:val="0"/>
          <w:numId w:val="2"/>
        </w:numPr>
        <w:ind w:left="594" w:leftChars="0"/>
        <w:rPr>
          <w:lang w:val="en-US"/>
        </w:rPr>
      </w:pPr>
      <w:bookmarkStart w:id="25" w:name="标准名称_国标"/>
      <w:r>
        <w:rPr>
          <w:rFonts w:hint="eastAsia"/>
          <w:lang w:val="en-US"/>
        </w:rPr>
        <w:t>《绿色建筑评价标准》GB/T 50378-2019</w:t>
      </w:r>
    </w:p>
    <w:p>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pPr>
        <w:numPr>
          <w:ilvl w:val="0"/>
          <w:numId w:val="2"/>
        </w:numPr>
        <w:ind w:left="594" w:leftChars="0"/>
        <w:rPr>
          <w:lang w:val="en-US"/>
        </w:rPr>
      </w:pPr>
      <w:r>
        <w:rPr>
          <w:lang w:val="en-US"/>
        </w:rPr>
        <w:t>《绿色建筑评价标准</w:t>
      </w:r>
      <w:r>
        <w:rPr>
          <w:rFonts w:hint="eastAsia"/>
          <w:lang w:val="en-US"/>
        </w:rPr>
        <w:t>技术细则2019</w:t>
      </w:r>
      <w:r>
        <w:rPr>
          <w:lang w:val="en-US"/>
        </w:rPr>
        <w:t>》</w:t>
      </w:r>
    </w:p>
    <w:p>
      <w:pPr>
        <w:numPr>
          <w:ilvl w:val="0"/>
          <w:numId w:val="2"/>
        </w:numPr>
        <w:ind w:left="594" w:leftChars="0"/>
        <w:rPr>
          <w:lang w:val="en-US"/>
        </w:rPr>
      </w:pPr>
      <w:r>
        <w:rPr>
          <w:lang w:val="en-US"/>
        </w:rPr>
        <w:t>《采光测量方法》GB/T5699-2017</w:t>
      </w:r>
    </w:p>
    <w:p>
      <w:pPr>
        <w:pStyle w:val="3"/>
        <w:ind w:firstLine="420"/>
        <w:rPr>
          <w:rFonts w:ascii="宋体" w:hAnsi="宋体"/>
          <w:lang w:val="en-US"/>
        </w:rPr>
      </w:pPr>
    </w:p>
    <w:p>
      <w:pPr>
        <w:pStyle w:val="2"/>
      </w:pPr>
      <w:bookmarkStart w:id="27" w:name="_Toc14555"/>
      <w:r>
        <w:rPr>
          <w:rFonts w:hint="eastAsia"/>
        </w:rPr>
        <w:t>分析</w:t>
      </w:r>
      <w:r>
        <w:t>目的</w:t>
      </w:r>
      <w:bookmarkEnd w:id="27"/>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bookmarkStart w:id="28" w:name="_Toc29249"/>
      <w:r>
        <w:rPr>
          <w:rFonts w:hint="eastAsia"/>
        </w:rPr>
        <w:t>标准</w:t>
      </w:r>
      <w:r>
        <w:t>要求</w:t>
      </w:r>
      <w:bookmarkEnd w:id="28"/>
    </w:p>
    <w:p>
      <w:pPr>
        <w:numPr>
          <w:ilvl w:val="0"/>
          <w:numId w:val="3"/>
        </w:numPr>
        <w:ind w:left="594" w:leftChars="0"/>
        <w:rPr>
          <w:b/>
        </w:rPr>
      </w:pPr>
      <w:bookmarkStart w:id="29" w:name="标准名称1"/>
      <w:r>
        <w:rPr>
          <w:b/>
        </w:rPr>
        <w:t>《绿色建筑评价标准》GB/T 50378-2019</w:t>
      </w:r>
      <w:bookmarkEnd w:id="29"/>
    </w:p>
    <w:p>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pPr>
        <w:ind w:left="210" w:leftChars="100" w:firstLine="420" w:firstLineChars="200"/>
        <w:rPr>
          <w:szCs w:val="21"/>
        </w:rPr>
      </w:pPr>
      <w:r>
        <w:rPr>
          <w:szCs w:val="21"/>
        </w:rPr>
        <w:t xml:space="preserve">2 </w:t>
      </w:r>
      <w:r>
        <w:rPr>
          <w:rFonts w:hint="eastAsia"/>
          <w:szCs w:val="21"/>
        </w:rPr>
        <w:t>公共建筑按下列规则分别评分并累计：</w:t>
      </w:r>
    </w:p>
    <w:p>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r>
        <w:rPr>
          <w:szCs w:val="21"/>
        </w:rPr>
        <w:t>3</w:t>
      </w:r>
      <w:bookmarkEnd w:id="25"/>
      <w:r>
        <w:rPr>
          <w:szCs w:val="21"/>
        </w:rPr>
        <w:t xml:space="preserve"> </w:t>
      </w:r>
      <w:r>
        <w:rPr>
          <w:rFonts w:hint="eastAsia"/>
          <w:szCs w:val="21"/>
        </w:rPr>
        <w:t>分；</w:t>
      </w:r>
    </w:p>
    <w:p>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pPr>
        <w:pStyle w:val="14"/>
        <w:spacing w:line="420" w:lineRule="auto"/>
        <w:ind w:left="-246" w:firstLine="0" w:firstLineChars="0"/>
        <w:rPr>
          <w:b/>
          <w:sz w:val="21"/>
          <w:szCs w:val="21"/>
        </w:rPr>
      </w:pPr>
    </w:p>
    <w:p>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p>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31" w:name="_Toc290209312"/>
      <w:bookmarkStart w:id="32" w:name="_Toc290149054"/>
      <w:bookmarkStart w:id="33" w:name="_Toc312399791"/>
      <w:bookmarkStart w:id="34" w:name="_Toc264043625"/>
      <w:bookmarkStart w:id="35" w:name="_Toc290209336"/>
      <w:bookmarkStart w:id="36" w:name="_Toc275165382"/>
      <w:bookmarkStart w:id="37" w:name="_Toc264569232"/>
      <w:bookmarkStart w:id="38" w:name="_Toc2671"/>
      <w:r>
        <w:rPr>
          <w:rFonts w:hint="eastAsia"/>
        </w:rPr>
        <w:t>采光分析</w:t>
      </w:r>
      <w:r>
        <w:t>概述</w:t>
      </w:r>
      <w:bookmarkEnd w:id="31"/>
      <w:bookmarkEnd w:id="32"/>
      <w:bookmarkEnd w:id="33"/>
      <w:bookmarkEnd w:id="34"/>
      <w:bookmarkEnd w:id="35"/>
      <w:bookmarkEnd w:id="36"/>
      <w:bookmarkEnd w:id="37"/>
      <w:bookmarkEnd w:id="38"/>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9" w:name="_Toc31865"/>
      <w:r>
        <w:rPr>
          <w:rFonts w:hint="eastAsia"/>
        </w:rPr>
        <w:t>计算原理</w:t>
      </w:r>
      <w:bookmarkEnd w:id="39"/>
    </w:p>
    <w:p>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40" w:name="_Toc275165387"/>
      <w:bookmarkStart w:id="41" w:name="_Toc264569237"/>
      <w:bookmarkStart w:id="42" w:name="_Toc290209341"/>
      <w:bookmarkStart w:id="43" w:name="_Toc264043630"/>
      <w:bookmarkStart w:id="44" w:name="_Toc290209317"/>
      <w:bookmarkStart w:id="45" w:name="_Toc290149059"/>
      <w:bookmarkStart w:id="46" w:name="_Toc312399796"/>
      <w:bookmarkStart w:id="47" w:name="_Toc8073"/>
      <w:r>
        <w:t>分析软件</w:t>
      </w:r>
      <w:bookmarkEnd w:id="40"/>
      <w:bookmarkEnd w:id="41"/>
      <w:bookmarkEnd w:id="42"/>
      <w:bookmarkEnd w:id="43"/>
      <w:bookmarkEnd w:id="44"/>
      <w:bookmarkEnd w:id="45"/>
      <w:bookmarkEnd w:id="46"/>
      <w:bookmarkEnd w:id="47"/>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bookmarkStart w:id="48" w:name="_Toc4091"/>
      <w:r>
        <w:rPr>
          <w:rFonts w:hint="eastAsia"/>
        </w:rPr>
        <w:t>采光计算</w:t>
      </w:r>
      <w:r>
        <w:t>参数</w:t>
      </w:r>
      <w:r>
        <w:rPr>
          <w:rFonts w:hint="eastAsia"/>
        </w:rPr>
        <w:t>取值</w:t>
      </w:r>
      <w:bookmarkEnd w:id="48"/>
    </w:p>
    <w:p>
      <w:pPr>
        <w:pStyle w:val="4"/>
      </w:pPr>
      <w:bookmarkStart w:id="49" w:name="_Toc264569236"/>
      <w:bookmarkStart w:id="50" w:name="_Toc290209316"/>
      <w:bookmarkStart w:id="51" w:name="_Toc312399795"/>
      <w:bookmarkStart w:id="52" w:name="_Toc264043629"/>
      <w:bookmarkStart w:id="53" w:name="_Toc290209340"/>
      <w:bookmarkStart w:id="54" w:name="_Toc290149058"/>
      <w:bookmarkStart w:id="55" w:name="_Toc275165386"/>
      <w:bookmarkStart w:id="56" w:name="_Toc8754"/>
      <w:r>
        <w:t>模拟</w:t>
      </w:r>
      <w:bookmarkEnd w:id="49"/>
      <w:bookmarkEnd w:id="50"/>
      <w:bookmarkEnd w:id="51"/>
      <w:bookmarkEnd w:id="52"/>
      <w:bookmarkEnd w:id="53"/>
      <w:bookmarkEnd w:id="54"/>
      <w:bookmarkEnd w:id="55"/>
      <w:r>
        <w:rPr>
          <w:rFonts w:hint="eastAsia"/>
        </w:rPr>
        <w:t>分析条件说明</w:t>
      </w:r>
      <w:bookmarkEnd w:id="56"/>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57" w:name="分析面高"/>
      <w:r>
        <w:t>0.75</w:t>
      </w:r>
      <w:bookmarkEnd w:id="57"/>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8" w:name="网格划分小房间面积"/>
            <w:r>
              <w:rPr>
                <w:szCs w:val="18"/>
              </w:rPr>
              <w:t>10</w:t>
            </w:r>
            <w:bookmarkEnd w:id="58"/>
          </w:p>
        </w:tc>
        <w:tc>
          <w:tcPr>
            <w:tcW w:w="3272" w:type="dxa"/>
            <w:shd w:val="clear" w:color="auto" w:fill="auto"/>
            <w:vAlign w:val="center"/>
          </w:tcPr>
          <w:p>
            <w:pPr>
              <w:jc w:val="center"/>
              <w:rPr>
                <w:szCs w:val="18"/>
              </w:rPr>
            </w:pPr>
            <w:bookmarkStart w:id="59" w:name="小房间网格大小"/>
            <w:r>
              <w:rPr>
                <w:szCs w:val="18"/>
              </w:rPr>
              <w:t>0.25</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0" w:name="网格划分房间面积"/>
            <w:r>
              <w:rPr>
                <w:szCs w:val="18"/>
              </w:rPr>
              <w:t>10~100</w:t>
            </w:r>
            <w:bookmarkEnd w:id="60"/>
          </w:p>
        </w:tc>
        <w:tc>
          <w:tcPr>
            <w:tcW w:w="3272" w:type="dxa"/>
            <w:shd w:val="clear" w:color="auto" w:fill="auto"/>
            <w:vAlign w:val="center"/>
          </w:tcPr>
          <w:p>
            <w:pPr>
              <w:jc w:val="center"/>
              <w:rPr>
                <w:szCs w:val="18"/>
              </w:rPr>
            </w:pPr>
            <w:bookmarkStart w:id="61" w:name="网格大小"/>
            <w:r>
              <w:rPr>
                <w:szCs w:val="18"/>
              </w:rPr>
              <w:t>0.50</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大房间面积"/>
            <w:r>
              <w:rPr>
                <w:szCs w:val="18"/>
              </w:rPr>
              <w:t>100</w:t>
            </w:r>
            <w:bookmarkEnd w:id="62"/>
          </w:p>
        </w:tc>
        <w:tc>
          <w:tcPr>
            <w:tcW w:w="3272" w:type="dxa"/>
            <w:shd w:val="clear" w:color="auto" w:fill="auto"/>
            <w:vAlign w:val="center"/>
          </w:tcPr>
          <w:p>
            <w:pPr>
              <w:jc w:val="center"/>
              <w:rPr>
                <w:szCs w:val="18"/>
              </w:rPr>
            </w:pPr>
            <w:bookmarkStart w:id="63" w:name="大房间网格大小"/>
            <w:r>
              <w:rPr>
                <w:szCs w:val="18"/>
              </w:rPr>
              <w:t>1.00</w:t>
            </w:r>
            <w:bookmarkEnd w:id="63"/>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bookmarkStart w:id="64" w:name="_Toc12186"/>
      <w:r>
        <w:rPr>
          <w:rFonts w:hint="eastAsia"/>
        </w:rPr>
        <w:t>建筑饰面材料参数</w:t>
      </w:r>
      <w:bookmarkEnd w:id="6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pPr>
              <w:jc w:val="center"/>
              <w:rPr>
                <w:szCs w:val="18"/>
              </w:rPr>
            </w:pPr>
            <w:r>
              <w:rPr>
                <w:rFonts w:hint="eastAsia"/>
                <w:szCs w:val="18"/>
              </w:rPr>
              <w:t>部位</w:t>
            </w:r>
          </w:p>
        </w:tc>
        <w:tc>
          <w:tcPr>
            <w:tcW w:w="3277" w:type="dxa"/>
            <w:shd w:val="clear" w:color="auto" w:fill="E6E6E6"/>
            <w:vAlign w:val="center"/>
          </w:tcPr>
          <w:p>
            <w:pPr>
              <w:jc w:val="center"/>
            </w:pPr>
            <w:r>
              <w:rPr>
                <w:rFonts w:hint="eastAsia"/>
              </w:rPr>
              <w:t>反射比材料设计取值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顶棚</w:t>
            </w:r>
          </w:p>
        </w:tc>
        <w:tc>
          <w:tcPr>
            <w:tcW w:w="3277" w:type="dxa"/>
            <w:shd w:val="clear" w:color="auto" w:fill="auto"/>
            <w:vAlign w:val="center"/>
          </w:tcPr>
          <w:p>
            <w:pPr>
              <w:jc w:val="center"/>
            </w:pPr>
            <w:bookmarkStart w:id="65" w:name="顶棚反射比"/>
            <w:r>
              <w:t>0.75</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地面</w:t>
            </w:r>
          </w:p>
        </w:tc>
        <w:tc>
          <w:tcPr>
            <w:tcW w:w="3277" w:type="dxa"/>
            <w:shd w:val="clear" w:color="auto" w:fill="auto"/>
            <w:vAlign w:val="center"/>
          </w:tcPr>
          <w:p>
            <w:pPr>
              <w:jc w:val="center"/>
            </w:pPr>
            <w:bookmarkStart w:id="66" w:name="地面反射比"/>
            <w:r>
              <w:t>0.30</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墙面</w:t>
            </w:r>
          </w:p>
        </w:tc>
        <w:tc>
          <w:tcPr>
            <w:tcW w:w="3277" w:type="dxa"/>
            <w:shd w:val="clear" w:color="auto" w:fill="auto"/>
            <w:vAlign w:val="center"/>
          </w:tcPr>
          <w:p>
            <w:pPr>
              <w:jc w:val="center"/>
            </w:pPr>
            <w:bookmarkStart w:id="67" w:name="墙面反射比"/>
            <w:r>
              <w:t>0.60</w:t>
            </w:r>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外表面</w:t>
            </w:r>
          </w:p>
        </w:tc>
        <w:tc>
          <w:tcPr>
            <w:tcW w:w="3277" w:type="dxa"/>
            <w:shd w:val="clear" w:color="auto" w:fill="auto"/>
            <w:vAlign w:val="center"/>
          </w:tcPr>
          <w:p>
            <w:pPr>
              <w:jc w:val="center"/>
            </w:pPr>
            <w:bookmarkStart w:id="68" w:name="外表面反射比"/>
            <w:r>
              <w:t>0.30</w:t>
            </w:r>
            <w:bookmarkEnd w:id="68"/>
          </w:p>
        </w:tc>
      </w:tr>
    </w:tbl>
    <w:p>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pPr>
        <w:pStyle w:val="4"/>
      </w:pPr>
      <w:bookmarkStart w:id="69" w:name="_Toc422822724"/>
      <w:bookmarkStart w:id="70" w:name="_Toc12077"/>
      <w:r>
        <w:rPr>
          <w:rFonts w:hint="eastAsia"/>
        </w:rPr>
        <w:t>门窗类型参数</w:t>
      </w:r>
      <w:bookmarkEnd w:id="69"/>
      <w:bookmarkEnd w:id="70"/>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71" w:name="_Toc7489"/>
      <w:bookmarkStart w:id="72" w:name="窗"/>
      <w:r>
        <w:t>普通</w:t>
      </w:r>
      <w:r>
        <w:rPr>
          <w:rFonts w:hint="eastAsia"/>
        </w:rPr>
        <w:t>窗</w:t>
      </w:r>
      <w:bookmarkEnd w:id="71"/>
    </w:p>
    <w:bookmarkEnd w:id="7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BYC</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C0824</w:t>
            </w:r>
          </w:p>
        </w:tc>
        <w:tc>
          <w:tcPr>
            <w:vAlign w:val="center"/>
          </w:tcPr>
          <w:p>
            <w:pPr>
              <w:jc w:val="center"/>
              <w:rPr>
                <w:sz w:val="18"/>
                <w:szCs w:val="18"/>
              </w:rPr>
            </w:pPr>
            <w:r>
              <w:rPr>
                <w:sz w:val="18"/>
                <w:szCs w:val="18"/>
              </w:rPr>
              <w:t>800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C1024</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C1624</w:t>
            </w:r>
          </w:p>
        </w:tc>
        <w:tc>
          <w:tcPr>
            <w:vAlign w:val="center"/>
          </w:tcPr>
          <w:p>
            <w:pPr>
              <w:jc w:val="center"/>
              <w:rPr>
                <w:sz w:val="18"/>
                <w:szCs w:val="18"/>
              </w:rPr>
            </w:pPr>
            <w:r>
              <w:rPr>
                <w:sz w:val="18"/>
                <w:szCs w:val="18"/>
              </w:rPr>
              <w:t>1600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3" w:name="_Toc422822726"/>
      <w:bookmarkStart w:id="74" w:name="_Toc8202"/>
      <w:bookmarkStart w:id="75" w:name="幕墙"/>
      <w:r>
        <w:rPr>
          <w:rFonts w:hint="eastAsia"/>
        </w:rPr>
        <w:t>玻璃幕墙</w:t>
      </w:r>
      <w:bookmarkEnd w:id="73"/>
      <w:bookmarkEnd w:id="74"/>
    </w:p>
    <w:bookmarkEnd w:id="7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4600</w:t>
            </w:r>
          </w:p>
        </w:tc>
        <w:tc>
          <w:tcPr>
            <w:vAlign w:val="center"/>
          </w:tcPr>
          <w:p>
            <w:pPr>
              <w:jc w:val="center"/>
              <w:rPr>
                <w:sz w:val="18"/>
                <w:szCs w:val="18"/>
              </w:rPr>
            </w:pPr>
            <w:r>
              <w:rPr>
                <w:sz w:val="18"/>
                <w:szCs w:val="18"/>
              </w:rPr>
              <w:t>5400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6" w:name="窗污染折减系数"/>
      <w:bookmarkEnd w:id="76"/>
    </w:p>
    <w:p>
      <w:pPr>
        <w:pStyle w:val="2"/>
      </w:pPr>
      <w:bookmarkStart w:id="77" w:name="_Toc422822729"/>
      <w:bookmarkStart w:id="78" w:name="_Toc13903"/>
      <w:r>
        <w:rPr>
          <w:rFonts w:hint="eastAsia"/>
        </w:rPr>
        <w:t>分析统计结果</w:t>
      </w:r>
      <w:bookmarkEnd w:id="77"/>
      <w:bookmarkEnd w:id="78"/>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1559.11</w:t>
            </w:r>
          </w:p>
        </w:tc>
        <w:tc>
          <w:tcPr>
            <w:gridSpan w:val="2"/>
            <w:vAlign w:val="center"/>
          </w:tcPr>
          <w:p>
            <w:pPr>
              <w:jc w:val="center"/>
              <w:rPr>
                <w:sz w:val="18"/>
                <w:szCs w:val="18"/>
              </w:rPr>
            </w:pPr>
            <w:r>
              <w:rPr>
                <w:sz w:val="18"/>
                <w:szCs w:val="18"/>
              </w:rPr>
              <w:t>1023.92</w:t>
            </w:r>
          </w:p>
        </w:tc>
        <w:tc>
          <w:tcPr>
            <w:vAlign w:val="center"/>
          </w:tcPr>
          <w:p>
            <w:pPr>
              <w:jc w:val="center"/>
              <w:rPr>
                <w:sz w:val="18"/>
                <w:szCs w:val="18"/>
              </w:rPr>
            </w:pPr>
            <w:r>
              <w:rPr>
                <w:sz w:val="18"/>
                <w:szCs w:val="18"/>
              </w:rPr>
              <w:t>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1013[大厅]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7.56</w:t>
            </w:r>
          </w:p>
        </w:tc>
        <w:tc>
          <w:tcPr>
            <w:gridSpan w:val="2"/>
            <w:vAlign w:val="center"/>
          </w:tcPr>
          <w:p>
            <w:pPr>
              <w:jc w:val="center"/>
              <w:rPr>
                <w:sz w:val="18"/>
                <w:szCs w:val="18"/>
              </w:rPr>
            </w:pPr>
            <w:r>
              <w:rPr>
                <w:sz w:val="18"/>
                <w:szCs w:val="18"/>
              </w:rPr>
              <w:t>3.21</w:t>
            </w:r>
          </w:p>
        </w:tc>
        <w:tc>
          <w:tcPr>
            <w:vAlign w:val="center"/>
          </w:tcPr>
          <w:p>
            <w:pPr>
              <w:jc w:val="center"/>
              <w:rPr>
                <w:sz w:val="18"/>
                <w:szCs w:val="18"/>
              </w:rPr>
            </w:pPr>
            <w:r>
              <w:rPr>
                <w:sz w:val="18"/>
                <w:szCs w:val="18"/>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1041[普通办公室]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11.78</w:t>
            </w:r>
          </w:p>
        </w:tc>
        <w:tc>
          <w:tcPr>
            <w:gridSpan w:val="2"/>
            <w:vAlign w:val="center"/>
          </w:tcPr>
          <w:p>
            <w:pPr>
              <w:jc w:val="center"/>
              <w:rPr>
                <w:sz w:val="18"/>
                <w:szCs w:val="18"/>
              </w:rPr>
            </w:pPr>
            <w:r>
              <w:rPr>
                <w:sz w:val="18"/>
                <w:szCs w:val="18"/>
              </w:rPr>
              <w:t>11.78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1067[普通办公室]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1.50</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1068[普通办公室]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0.24</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1091[普通办公室]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4.38</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1310.08</w:t>
            </w:r>
          </w:p>
        </w:tc>
        <w:tc>
          <w:tcPr>
            <w:gridSpan w:val="2"/>
            <w:vAlign w:val="center"/>
          </w:tcPr>
          <w:p>
            <w:pPr>
              <w:jc w:val="center"/>
              <w:rPr>
                <w:sz w:val="18"/>
                <w:szCs w:val="18"/>
              </w:rPr>
            </w:pPr>
            <w:r>
              <w:rPr>
                <w:sz w:val="18"/>
                <w:szCs w:val="18"/>
              </w:rPr>
              <w:t>716.99</w:t>
            </w:r>
          </w:p>
        </w:tc>
        <w:tc>
          <w:tcPr>
            <w:vAlign w:val="center"/>
          </w:tcPr>
          <w:p>
            <w:pPr>
              <w:jc w:val="center"/>
              <w:rPr>
                <w:sz w:val="18"/>
                <w:szCs w:val="18"/>
              </w:rPr>
            </w:pPr>
            <w:r>
              <w:rPr>
                <w:sz w:val="18"/>
                <w:szCs w:val="18"/>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2021[餐厅]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42.56</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2065[普通办公室]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1.50</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2066[普通办公室]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0.24</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2092[普通办公室]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4.38</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3</w:t>
            </w:r>
          </w:p>
        </w:tc>
        <w:tc>
          <w:tcPr>
            <w:gridSpan w:val="2"/>
            <w:vAlign w:val="center"/>
          </w:tcPr>
          <w:p>
            <w:pPr>
              <w:jc w:val="center"/>
              <w:rPr>
                <w:sz w:val="18"/>
                <w:szCs w:val="18"/>
              </w:rPr>
            </w:pPr>
            <w:r>
              <w:rPr>
                <w:sz w:val="18"/>
                <w:szCs w:val="18"/>
              </w:rPr>
              <w:t>3002[餐厅]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1064.07</w:t>
            </w:r>
          </w:p>
        </w:tc>
        <w:tc>
          <w:tcPr>
            <w:gridSpan w:val="2"/>
            <w:vAlign w:val="center"/>
          </w:tcPr>
          <w:p>
            <w:pPr>
              <w:jc w:val="center"/>
              <w:rPr>
                <w:sz w:val="18"/>
                <w:szCs w:val="18"/>
              </w:rPr>
            </w:pPr>
            <w:r>
              <w:rPr>
                <w:sz w:val="18"/>
                <w:szCs w:val="18"/>
              </w:rPr>
              <w:t>710.07</w:t>
            </w:r>
          </w:p>
        </w:tc>
        <w:tc>
          <w:tcPr>
            <w:vAlign w:val="center"/>
          </w:tcPr>
          <w:p>
            <w:pPr>
              <w:jc w:val="center"/>
              <w:rPr>
                <w:sz w:val="18"/>
                <w:szCs w:val="18"/>
              </w:rPr>
            </w:pPr>
            <w:r>
              <w:rPr>
                <w:sz w:val="18"/>
                <w:szCs w:val="18"/>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3062[普通办公室]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1.50</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3070[普通办公室]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0.24</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3083[餐厅]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10.12</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3100[普通办公室]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3.15</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餐厅</w:t>
            </w:r>
          </w:p>
        </w:tc>
        <w:tc>
          <w:tcPr>
            <w:gridSpan w:val="2"/>
            <w:vAlign w:val="center"/>
          </w:tcPr>
          <w:p>
            <w:pPr>
              <w:jc w:val="center"/>
            </w:pPr>
            <w:r>
              <w:t>侧面</w:t>
            </w:r>
          </w:p>
        </w:tc>
        <w:tc>
          <w:tcPr>
            <w:gridSpan w:val="2"/>
            <w:vAlign w:val="center"/>
          </w:tcPr>
          <w:p>
            <w:pPr>
              <w:jc w:val="center"/>
            </w:pPr>
            <w:r>
              <w:t>2.20</w:t>
            </w:r>
          </w:p>
        </w:tc>
        <w:tc>
          <w:tcPr>
            <w:gridSpan w:val="3"/>
            <w:vAlign w:val="center"/>
          </w:tcPr>
          <w:p>
            <w:pPr>
              <w:jc w:val="center"/>
            </w:pPr>
            <w:r>
              <w:t>150</w:t>
            </w:r>
          </w:p>
        </w:tc>
        <w:tc>
          <w:tcPr>
            <w:gridSpan w:val="2"/>
            <w:vAlign w:val="center"/>
          </w:tcPr>
          <w:p>
            <w:pPr>
              <w:jc w:val="center"/>
            </w:pPr>
            <w:r>
              <w:t>3985.94</w:t>
            </w:r>
          </w:p>
        </w:tc>
        <w:tc>
          <w:tcPr>
            <w:gridSpan w:val="2"/>
            <w:vAlign w:val="center"/>
          </w:tcPr>
          <w:p>
            <w:pPr>
              <w:jc w:val="center"/>
            </w:pPr>
            <w:r>
              <w:t>2450.98</w:t>
            </w:r>
          </w:p>
        </w:tc>
        <w:tc>
          <w:tcPr>
            <w:gridSpan w:val="3"/>
            <w:vAlign w:val="center"/>
          </w:tcPr>
          <w:p>
            <w:pPr>
              <w:jc w:val="center"/>
            </w:pPr>
            <w: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大堂</w:t>
            </w:r>
          </w:p>
        </w:tc>
        <w:tc>
          <w:tcPr>
            <w:gridSpan w:val="2"/>
            <w:vAlign w:val="center"/>
          </w:tcPr>
          <w:p>
            <w:pPr>
              <w:jc w:val="center"/>
            </w:pPr>
            <w:r>
              <w:t>侧面</w:t>
            </w:r>
          </w:p>
        </w:tc>
        <w:tc>
          <w:tcPr>
            <w:gridSpan w:val="2"/>
            <w:vAlign w:val="center"/>
          </w:tcPr>
          <w:p>
            <w:pPr>
              <w:jc w:val="center"/>
            </w:pPr>
            <w:r>
              <w:t>2.20</w:t>
            </w:r>
          </w:p>
        </w:tc>
        <w:tc>
          <w:tcPr>
            <w:gridSpan w:val="3"/>
            <w:vAlign w:val="center"/>
          </w:tcPr>
          <w:p>
            <w:pPr>
              <w:jc w:val="center"/>
            </w:pPr>
            <w:r>
              <w:t>300</w:t>
            </w:r>
          </w:p>
        </w:tc>
        <w:tc>
          <w:tcPr>
            <w:gridSpan w:val="2"/>
            <w:vAlign w:val="center"/>
          </w:tcPr>
          <w:p>
            <w:pPr>
              <w:jc w:val="center"/>
            </w:pPr>
            <w:r>
              <w:t>7.56</w:t>
            </w:r>
          </w:p>
        </w:tc>
        <w:tc>
          <w:tcPr>
            <w:gridSpan w:val="2"/>
            <w:vAlign w:val="center"/>
          </w:tcPr>
          <w:p>
            <w:pPr>
              <w:jc w:val="center"/>
            </w:pPr>
            <w:r>
              <w:t>3.21</w:t>
            </w:r>
          </w:p>
        </w:tc>
        <w:tc>
          <w:tcPr>
            <w:gridSpan w:val="3"/>
            <w:vAlign w:val="center"/>
          </w:tcPr>
          <w:p>
            <w:pPr>
              <w:jc w:val="center"/>
            </w:pPr>
            <w: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教师办公室</w:t>
            </w:r>
          </w:p>
        </w:tc>
        <w:tc>
          <w:tcPr>
            <w:gridSpan w:val="2"/>
            <w:vAlign w:val="center"/>
          </w:tcPr>
          <w:p>
            <w:pPr>
              <w:jc w:val="center"/>
            </w:pPr>
            <w:r>
              <w:t>侧面</w:t>
            </w:r>
          </w:p>
        </w:tc>
        <w:tc>
          <w:tcPr>
            <w:gridSpan w:val="2"/>
            <w:vAlign w:val="center"/>
          </w:tcPr>
          <w:p>
            <w:pPr>
              <w:jc w:val="center"/>
            </w:pPr>
            <w:r>
              <w:t>3.30</w:t>
            </w:r>
          </w:p>
        </w:tc>
        <w:tc>
          <w:tcPr>
            <w:gridSpan w:val="3"/>
            <w:vAlign w:val="center"/>
          </w:tcPr>
          <w:p>
            <w:pPr>
              <w:jc w:val="center"/>
            </w:pPr>
            <w:r>
              <w:t>450</w:t>
            </w:r>
          </w:p>
        </w:tc>
        <w:tc>
          <w:tcPr>
            <w:gridSpan w:val="2"/>
            <w:vAlign w:val="center"/>
          </w:tcPr>
          <w:p>
            <w:pPr>
              <w:jc w:val="center"/>
            </w:pPr>
            <w:r>
              <w:t>28.90</w:t>
            </w:r>
          </w:p>
        </w:tc>
        <w:tc>
          <w:tcPr>
            <w:gridSpan w:val="2"/>
            <w:vAlign w:val="center"/>
          </w:tcPr>
          <w:p>
            <w:pPr>
              <w:jc w:val="center"/>
            </w:pPr>
            <w:r>
              <w:t>11.78</w:t>
            </w:r>
          </w:p>
        </w:tc>
        <w:tc>
          <w:tcPr>
            <w:gridSpan w:val="3"/>
            <w:vAlign w:val="center"/>
          </w:tcPr>
          <w:p>
            <w:pPr>
              <w:jc w:val="center"/>
            </w:pPr>
            <w: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总计达标面积比例(%)</w:t>
            </w:r>
          </w:p>
        </w:tc>
        <w:tc>
          <w:tcPr>
            <w:gridSpan w:val="7"/>
            <w:vAlign w:val="center"/>
          </w:tcPr>
          <w:p>
            <w:pPr>
              <w:jc w:val="center"/>
            </w:pPr>
            <w:r>
              <w:t>61</w:t>
            </w:r>
          </w:p>
        </w:tc>
      </w:tr>
    </w:tbl>
    <w:p>
      <w:pPr>
        <w:pStyle w:val="3"/>
        <w:ind w:firstLine="0" w:firstLineChars="0"/>
        <w:rPr>
          <w:rFonts w:ascii="宋体" w:hAnsi="宋体"/>
          <w:sz w:val="18"/>
          <w:szCs w:val="18"/>
          <w:lang w:val="en-US"/>
        </w:rPr>
      </w:pPr>
      <w:bookmarkStart w:id="79" w:name="达标率表格"/>
      <w:bookmarkEnd w:id="79"/>
    </w:p>
    <w:p>
      <w:pPr>
        <w:pStyle w:val="2"/>
      </w:pPr>
      <w:bookmarkStart w:id="80" w:name="_Toc422822730"/>
      <w:bookmarkStart w:id="81" w:name="_Toc18068"/>
      <w:r>
        <w:rPr>
          <w:rFonts w:hint="eastAsia"/>
        </w:rPr>
        <w:t>达标率彩图</w:t>
      </w:r>
      <w:bookmarkEnd w:id="80"/>
      <w:bookmarkEnd w:id="81"/>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82" w:name="达标图"/>
      <w:bookmarkEnd w:id="82"/>
    </w:p>
    <w:p>
      <w:pPr>
        <w:jc w:val="center"/>
        <w:rPr>
          <w:sz w:val="18"/>
          <w:lang w:val="en-US"/>
        </w:rPr>
      </w:pPr>
      <w:r>
        <w:drawing>
          <wp:inline distT="0" distB="0" distL="0" distR="0">
            <wp:extent cx="5667375" cy="4981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981575"/>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r>
        <w:drawing>
          <wp:inline distT="0" distB="0" distL="0" distR="0">
            <wp:extent cx="5667375" cy="49815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981575"/>
                    </a:xfrm>
                    <a:prstGeom prst="rect">
                      <a:avLst/>
                    </a:prstGeom>
                  </pic:spPr>
                </pic:pic>
              </a:graphicData>
            </a:graphic>
          </wp:inline>
        </w:drawing>
      </w:r>
    </w:p>
    <w:p>
      <w:pPr>
        <w:jc w:val="center"/>
        <w:rPr>
          <w:sz w:val="18"/>
          <w:lang w:val="en-US"/>
        </w:rPr>
      </w:pPr>
      <w:r>
        <w:rPr>
          <w:sz w:val="18"/>
          <w:lang w:val="en-US"/>
        </w:rPr>
        <w:t>2层</w:t>
      </w:r>
    </w:p>
    <w:p>
      <w:pPr>
        <w:jc w:val="center"/>
        <w:rPr>
          <w:sz w:val="18"/>
          <w:lang w:val="en-US"/>
        </w:rPr>
      </w:pPr>
      <w:r>
        <w:drawing>
          <wp:inline distT="0" distB="0" distL="0" distR="0">
            <wp:extent cx="5667375" cy="49815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4981575"/>
                    </a:xfrm>
                    <a:prstGeom prst="rect">
                      <a:avLst/>
                    </a:prstGeom>
                  </pic:spPr>
                </pic:pic>
              </a:graphicData>
            </a:graphic>
          </wp:inline>
        </w:drawing>
      </w:r>
    </w:p>
    <w:p>
      <w:pPr>
        <w:jc w:val="center"/>
        <w:rPr>
          <w:sz w:val="18"/>
          <w:lang w:val="en-US"/>
        </w:rPr>
      </w:pPr>
      <w:r>
        <w:rPr>
          <w:sz w:val="18"/>
          <w:lang w:val="en-US"/>
        </w:rPr>
        <w:t>3层</w:t>
      </w:r>
    </w:p>
    <w:p>
      <w:pPr>
        <w:jc w:val="center"/>
        <w:rPr>
          <w:sz w:val="18"/>
          <w:lang w:val="en-US"/>
        </w:rPr>
      </w:pPr>
    </w:p>
    <w:p>
      <w:pPr>
        <w:pStyle w:val="2"/>
      </w:pPr>
      <w:bookmarkStart w:id="83" w:name="_Toc422822731"/>
      <w:bookmarkStart w:id="84" w:name="_Toc20412"/>
      <w:r>
        <w:rPr>
          <w:rFonts w:hint="eastAsia"/>
        </w:rPr>
        <w:t>评价结论</w:t>
      </w:r>
      <w:bookmarkEnd w:id="83"/>
      <w:bookmarkEnd w:id="84"/>
    </w:p>
    <w:p>
      <w:pPr>
        <w:ind w:firstLine="420" w:firstLineChars="200"/>
      </w:pPr>
      <w:r>
        <w:t>根据</w:t>
      </w:r>
      <w:bookmarkStart w:id="85" w:name="标准名称4"/>
      <w:r>
        <w:t>《绿色建筑评价标准》GB/T 50378-2019</w:t>
      </w:r>
      <w:bookmarkEnd w:id="85"/>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86" w:name="采光面积"/>
            <w:r>
              <w:rPr>
                <w:rFonts w:hint="eastAsia"/>
              </w:rPr>
              <w:t>4022.40</w:t>
            </w:r>
            <w:bookmarkEnd w:id="86"/>
          </w:p>
        </w:tc>
        <w:tc>
          <w:tcPr>
            <w:tcW w:w="2408" w:type="dxa"/>
            <w:vAlign w:val="center"/>
          </w:tcPr>
          <w:p>
            <w:pPr>
              <w:jc w:val="center"/>
            </w:pPr>
            <w:bookmarkStart w:id="87" w:name="达标面积"/>
            <w:r>
              <w:rPr>
                <w:rFonts w:hint="eastAsia"/>
              </w:rPr>
              <w:t>2465.97</w:t>
            </w:r>
            <w:bookmarkEnd w:id="87"/>
          </w:p>
        </w:tc>
        <w:tc>
          <w:tcPr>
            <w:tcW w:w="2270" w:type="dxa"/>
            <w:vAlign w:val="center"/>
          </w:tcPr>
          <w:p>
            <w:pPr>
              <w:jc w:val="center"/>
            </w:pPr>
            <w:bookmarkStart w:id="88" w:name="达标率"/>
            <w:r>
              <w:rPr>
                <w:rFonts w:hint="eastAsia"/>
              </w:rPr>
              <w:t>61</w:t>
            </w:r>
            <w:bookmarkEnd w:id="88"/>
          </w:p>
        </w:tc>
        <w:tc>
          <w:tcPr>
            <w:tcW w:w="1805" w:type="dxa"/>
            <w:vAlign w:val="center"/>
          </w:tcPr>
          <w:p>
            <w:pPr>
              <w:jc w:val="center"/>
            </w:pPr>
            <w:bookmarkStart w:id="89" w:name="达标率得分"/>
            <w:r>
              <w:rPr>
                <w:rFonts w:hint="eastAsia"/>
              </w:rPr>
              <w:t>3</w:t>
            </w:r>
            <w:bookmarkEnd w:id="89"/>
          </w:p>
        </w:tc>
      </w:tr>
    </w:tbl>
    <w:p>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90" w:name="总平面图"/>
      <w:bookmarkEnd w:id="90"/>
    </w:p>
    <w:p/>
    <w:p>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0F802CE0"/>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0F802CE0"/>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6216;\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tmp12.dotx</Template>
  <Pages>11</Pages>
  <Words>3137</Words>
  <Characters>4040</Characters>
  <Lines>30</Lines>
  <Paragraphs>8</Paragraphs>
  <TotalTime>1</TotalTime>
  <ScaleCrop>false</ScaleCrop>
  <LinksUpToDate>false</LinksUpToDate>
  <CharactersWithSpaces>4146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2026-01-02T06:50:00Z</dcterms:created>
  <dc:creator></dc:creator>
  <cp:lastModifiedBy></cp:lastModifiedBy>
  <dcterms:modified xsi:type="dcterms:W3CDTF">2026-01-02T06:51:49Z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F5BD223BA6A84DACBFD77C7811FFD9E4_12</vt:lpwstr>
  </property>
</Properties>
</file>