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53CC" w14:textId="610D625B" w:rsidR="003C47D2" w:rsidRPr="003C47D2" w:rsidRDefault="003C47D2" w:rsidP="003C47D2">
      <w:pPr>
        <w:jc w:val="center"/>
        <w:rPr>
          <w:rFonts w:hint="eastAsia"/>
          <w:b/>
          <w:bCs/>
          <w:sz w:val="28"/>
          <w:szCs w:val="32"/>
        </w:rPr>
      </w:pPr>
      <w:r w:rsidRPr="003C47D2">
        <w:rPr>
          <w:rFonts w:hint="eastAsia"/>
          <w:b/>
          <w:bCs/>
          <w:sz w:val="28"/>
          <w:szCs w:val="32"/>
        </w:rPr>
        <w:t>可再生能源建筑一体化集成应用方案</w:t>
      </w:r>
    </w:p>
    <w:p w14:paraId="16D208E9" w14:textId="196AB52E" w:rsidR="003C47D2" w:rsidRDefault="003C47D2" w:rsidP="003C47D2">
      <w:pPr>
        <w:rPr>
          <w:rFonts w:hint="eastAsia"/>
        </w:rPr>
      </w:pPr>
      <w:r>
        <w:rPr>
          <w:rFonts w:hint="eastAsia"/>
        </w:rPr>
        <w:t>一、项目核心建筑参数（结合BIM轴测图与节能测算数据）</w:t>
      </w:r>
    </w:p>
    <w:p w14:paraId="12AC9110" w14:textId="2DB56926" w:rsidR="003C47D2" w:rsidRDefault="003C47D2" w:rsidP="003C47D2">
      <w:pPr>
        <w:rPr>
          <w:rFonts w:hint="eastAsia"/>
        </w:rPr>
      </w:pPr>
      <w:r>
        <w:rPr>
          <w:rFonts w:hint="eastAsia"/>
        </w:rPr>
        <w:t>本项目为地上4层商业体+地上停车场，建筑为矩形主体+局部附属结构（东北轴测图显示南侧/东侧有建筑外延区域），总建筑面积12950.97㎡，建筑体积64820.07m³，体形系数0.17（满足《河南公共建筑节能设计标准》DBJ41/T 075-2016寒冷地区≤0.40要求）。</w:t>
      </w:r>
    </w:p>
    <w:p w14:paraId="0145D20E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各层建筑面积：1层3059.10㎡、2层3150.79㎡、3层3455.82㎡、4层3285.26㎡；外立面窗墙比：南向0.01（窗面积7.56㎡）、北向0.02（27.72㎡）、东向0.04（66.96㎡）、西向0.02（35.28㎡），均满足≤0.70的规范限值。</w:t>
      </w:r>
    </w:p>
    <w:p w14:paraId="5D66CFCF" w14:textId="57761E45" w:rsidR="003C47D2" w:rsidRDefault="003C47D2" w:rsidP="003C47D2">
      <w:pPr>
        <w:rPr>
          <w:rFonts w:hint="eastAsia"/>
        </w:rPr>
      </w:pPr>
      <w:r>
        <w:rPr>
          <w:rFonts w:hint="eastAsia"/>
        </w:rPr>
        <w:t>可利用可再生能源区域：屋面核心平整区1200㎡（轴测图中灰色区域为设备/非铺装区，橙色区域为光伏可铺设区）、南向幕墙1290.67㎡、地上停车场充电桩区300㎡，建筑东北侧附属结构立面无有效采光，不布置光伏幕墙。</w:t>
      </w:r>
    </w:p>
    <w:p w14:paraId="4C3F266B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二、核心产品选型及真实性能参数</w:t>
      </w:r>
    </w:p>
    <w:p w14:paraId="2DB1B821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19AFD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（一）光伏建筑一体化（BIPV）组件</w:t>
      </w:r>
    </w:p>
    <w:p w14:paraId="70D39CF2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8E33C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1. 屋面光伏组件：晶科能源单晶硅双面双玻组件 JKM550M-72HL4-BDV </w:t>
      </w:r>
    </w:p>
    <w:p w14:paraId="7E7216E3" w14:textId="79339ED4" w:rsidR="003C47D2" w:rsidRDefault="003C47D2" w:rsidP="003C47D2">
      <w:pPr>
        <w:pStyle w:val="a9"/>
        <w:numPr>
          <w:ilvl w:val="0"/>
          <w:numId w:val="2"/>
        </w:numPr>
      </w:pPr>
      <w:r>
        <w:rPr>
          <w:rFonts w:hint="eastAsia"/>
        </w:rPr>
        <w:t>峰值功率（Pmax）：550W</w:t>
      </w:r>
    </w:p>
    <w:p w14:paraId="002EF890" w14:textId="77777777" w:rsidR="003C47D2" w:rsidRDefault="003C47D2" w:rsidP="003C47D2">
      <w:pPr>
        <w:pStyle w:val="a9"/>
        <w:numPr>
          <w:ilvl w:val="0"/>
          <w:numId w:val="2"/>
        </w:numPr>
      </w:pPr>
      <w:r>
        <w:rPr>
          <w:rFonts w:hint="eastAsia"/>
        </w:rPr>
        <w:t>转换效率：21.2%</w:t>
      </w:r>
    </w:p>
    <w:p w14:paraId="05397425" w14:textId="77777777" w:rsidR="003C47D2" w:rsidRDefault="003C47D2" w:rsidP="003C47D2">
      <w:pPr>
        <w:pStyle w:val="a9"/>
        <w:numPr>
          <w:ilvl w:val="0"/>
          <w:numId w:val="2"/>
        </w:numPr>
      </w:pPr>
      <w:r>
        <w:rPr>
          <w:rFonts w:hint="eastAsia"/>
        </w:rPr>
        <w:t>开路电压（Voc）：41.2V，短路电流（</w:t>
      </w:r>
      <w:proofErr w:type="spellStart"/>
      <w:r>
        <w:rPr>
          <w:rFonts w:hint="eastAsia"/>
        </w:rPr>
        <w:t>Isc</w:t>
      </w:r>
      <w:proofErr w:type="spellEnd"/>
      <w:r>
        <w:rPr>
          <w:rFonts w:hint="eastAsia"/>
        </w:rPr>
        <w:t>）：17.8A</w:t>
      </w:r>
    </w:p>
    <w:p w14:paraId="64065269" w14:textId="77777777" w:rsidR="003C47D2" w:rsidRDefault="003C47D2" w:rsidP="003C47D2">
      <w:pPr>
        <w:pStyle w:val="a9"/>
        <w:numPr>
          <w:ilvl w:val="0"/>
          <w:numId w:val="2"/>
        </w:numPr>
      </w:pPr>
      <w:r>
        <w:rPr>
          <w:rFonts w:hint="eastAsia"/>
        </w:rPr>
        <w:t>温度系数：-0.34%/℃</w:t>
      </w:r>
    </w:p>
    <w:p w14:paraId="5A16BF45" w14:textId="494B2CE6" w:rsidR="003C47D2" w:rsidRDefault="003C47D2" w:rsidP="003C47D2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防护等级：IP68，抗风等级12级，质保25年（功率衰减≤0.5%/年）</w:t>
      </w:r>
    </w:p>
    <w:p w14:paraId="35B4ACC8" w14:textId="55AFD783" w:rsidR="003C47D2" w:rsidRDefault="003C47D2" w:rsidP="003C47D2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装机规模：屋面橙色平整区铺设909块，总功率500kW（灰色设备区预留检修通道，不布置组件）</w:t>
      </w:r>
    </w:p>
    <w:p w14:paraId="19FBA429" w14:textId="77777777" w:rsidR="003C47D2" w:rsidRDefault="003C47D2" w:rsidP="003C47D2">
      <w:r>
        <w:rPr>
          <w:rFonts w:hint="eastAsia"/>
        </w:rPr>
        <w:t>2. 南向幕墙光伏组件：中信博彩色半透明光伏幕墙板 CSM180P-36 </w:t>
      </w:r>
    </w:p>
    <w:p w14:paraId="458B6BA4" w14:textId="77777777" w:rsidR="003C47D2" w:rsidRDefault="003C47D2" w:rsidP="003C47D2">
      <w:pPr>
        <w:pStyle w:val="a9"/>
        <w:numPr>
          <w:ilvl w:val="0"/>
          <w:numId w:val="1"/>
        </w:numPr>
      </w:pPr>
      <w:r>
        <w:rPr>
          <w:rFonts w:hint="eastAsia"/>
        </w:rPr>
        <w:t>峰值功率（Pmax）：180W</w:t>
      </w:r>
    </w:p>
    <w:p w14:paraId="5C2E1646" w14:textId="77777777" w:rsidR="003C47D2" w:rsidRDefault="003C47D2" w:rsidP="003C47D2">
      <w:pPr>
        <w:pStyle w:val="a9"/>
        <w:numPr>
          <w:ilvl w:val="0"/>
          <w:numId w:val="1"/>
        </w:numPr>
      </w:pPr>
      <w:r>
        <w:rPr>
          <w:rFonts w:hint="eastAsia"/>
        </w:rPr>
        <w:t>转换效率：16.5%</w:t>
      </w:r>
    </w:p>
    <w:p w14:paraId="653C3385" w14:textId="77777777" w:rsidR="003C47D2" w:rsidRDefault="003C47D2" w:rsidP="003C47D2">
      <w:pPr>
        <w:pStyle w:val="a9"/>
        <w:numPr>
          <w:ilvl w:val="0"/>
          <w:numId w:val="1"/>
        </w:numPr>
      </w:pPr>
      <w:r>
        <w:rPr>
          <w:rFonts w:hint="eastAsia"/>
        </w:rPr>
        <w:t>透光率：35%（适配商场橱窗采光）</w:t>
      </w:r>
    </w:p>
    <w:p w14:paraId="17EC75EE" w14:textId="77777777" w:rsidR="003C47D2" w:rsidRDefault="003C47D2" w:rsidP="003C47D2">
      <w:pPr>
        <w:pStyle w:val="a9"/>
        <w:numPr>
          <w:ilvl w:val="0"/>
          <w:numId w:val="1"/>
        </w:numPr>
      </w:pPr>
      <w:r>
        <w:rPr>
          <w:rFonts w:hint="eastAsia"/>
        </w:rPr>
        <w:t>尺寸：1000mm×2000mm，防护等级IP67</w:t>
      </w:r>
    </w:p>
    <w:p w14:paraId="765A016C" w14:textId="0419F2F5" w:rsidR="003C47D2" w:rsidRDefault="003C47D2" w:rsidP="003C47D2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装机规模：南向主立面幕墙铺设500块，总功率90kW（东北侧附属结构立面不布置）</w:t>
      </w:r>
    </w:p>
    <w:p w14:paraId="68C5EEAC" w14:textId="41AF2F25" w:rsidR="003C47D2" w:rsidRDefault="003C47D2" w:rsidP="003C47D2">
      <w:pPr>
        <w:rPr>
          <w:rFonts w:hint="eastAsia"/>
        </w:rPr>
      </w:pPr>
      <w:r>
        <w:rPr>
          <w:rFonts w:hint="eastAsia"/>
        </w:rPr>
        <w:t>（二）配套设备</w:t>
      </w:r>
    </w:p>
    <w:p w14:paraId="0C623233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lastRenderedPageBreak/>
        <w:t xml:space="preserve">1. 逆变器：阳光电源组串式逆变器 SMA Sunny </w:t>
      </w:r>
      <w:proofErr w:type="spellStart"/>
      <w:r>
        <w:rPr>
          <w:rFonts w:hint="eastAsia"/>
        </w:rPr>
        <w:t>Tripower</w:t>
      </w:r>
      <w:proofErr w:type="spellEnd"/>
      <w:r>
        <w:rPr>
          <w:rFonts w:hint="eastAsia"/>
        </w:rPr>
        <w:t xml:space="preserve"> 20000TL （2台）</w:t>
      </w:r>
    </w:p>
    <w:p w14:paraId="398E8410" w14:textId="77777777" w:rsidR="003C47D2" w:rsidRDefault="003C47D2" w:rsidP="003C47D2">
      <w:pPr>
        <w:pStyle w:val="a9"/>
        <w:numPr>
          <w:ilvl w:val="0"/>
          <w:numId w:val="3"/>
        </w:numPr>
      </w:pPr>
      <w:r>
        <w:rPr>
          <w:rFonts w:hint="eastAsia"/>
        </w:rPr>
        <w:t>额定功率：20kW/台，总功率40kW</w:t>
      </w:r>
    </w:p>
    <w:p w14:paraId="646C53D3" w14:textId="77777777" w:rsidR="003C47D2" w:rsidRDefault="003C47D2" w:rsidP="003C47D2">
      <w:pPr>
        <w:pStyle w:val="a9"/>
        <w:numPr>
          <w:ilvl w:val="0"/>
          <w:numId w:val="3"/>
        </w:numPr>
      </w:pPr>
      <w:r>
        <w:rPr>
          <w:rFonts w:hint="eastAsia"/>
        </w:rPr>
        <w:t>最大转换效率：98.8%</w:t>
      </w:r>
    </w:p>
    <w:p w14:paraId="4AD60EA6" w14:textId="22B06701" w:rsidR="003C47D2" w:rsidRDefault="003C47D2" w:rsidP="003C47D2">
      <w:pPr>
        <w:pStyle w:val="a9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并网电压：380V，MPPT电压范围：200-1000V</w:t>
      </w:r>
    </w:p>
    <w:p w14:paraId="492BD956" w14:textId="77777777" w:rsidR="003C47D2" w:rsidRDefault="003C47D2" w:rsidP="003C47D2">
      <w:r>
        <w:rPr>
          <w:rFonts w:hint="eastAsia"/>
        </w:rPr>
        <w:t>2. 空气源热泵：美的螺杆式超低温空气源热泵 KFRS-120Ⅱ （2台）</w:t>
      </w:r>
    </w:p>
    <w:p w14:paraId="4F39B28F" w14:textId="77777777" w:rsidR="003C47D2" w:rsidRDefault="003C47D2" w:rsidP="003C47D2">
      <w:pPr>
        <w:pStyle w:val="a9"/>
        <w:numPr>
          <w:ilvl w:val="0"/>
          <w:numId w:val="4"/>
        </w:numPr>
      </w:pPr>
      <w:r>
        <w:rPr>
          <w:rFonts w:hint="eastAsia"/>
        </w:rPr>
        <w:t>制热量：120kW/台，制冷量：100kW/台</w:t>
      </w:r>
    </w:p>
    <w:p w14:paraId="0E0D1DF1" w14:textId="77777777" w:rsidR="003C47D2" w:rsidRDefault="003C47D2" w:rsidP="003C47D2">
      <w:pPr>
        <w:pStyle w:val="a9"/>
        <w:numPr>
          <w:ilvl w:val="0"/>
          <w:numId w:val="4"/>
        </w:numPr>
      </w:pPr>
      <w:r>
        <w:rPr>
          <w:rFonts w:hint="eastAsia"/>
        </w:rPr>
        <w:t>COP值：制热4.2、制冷4.5（环境温度-10℃时制热COP≥2.8）</w:t>
      </w:r>
    </w:p>
    <w:p w14:paraId="2A26E69C" w14:textId="7F5F820D" w:rsidR="003C47D2" w:rsidRDefault="003C47D2" w:rsidP="003C47D2">
      <w:pPr>
        <w:pStyle w:val="a9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适用水温：5-55℃，噪声≤70dB(A)</w:t>
      </w:r>
    </w:p>
    <w:p w14:paraId="395F2A7F" w14:textId="77777777" w:rsidR="003C47D2" w:rsidRDefault="003C47D2" w:rsidP="003C47D2">
      <w:r>
        <w:rPr>
          <w:rFonts w:hint="eastAsia"/>
        </w:rPr>
        <w:t>3. 光伏充电桩：特来电直流快充桩 PC-60kW （5台）</w:t>
      </w:r>
    </w:p>
    <w:p w14:paraId="4BBC5637" w14:textId="77777777" w:rsidR="003C47D2" w:rsidRDefault="003C47D2" w:rsidP="003C47D2">
      <w:pPr>
        <w:pStyle w:val="a9"/>
        <w:numPr>
          <w:ilvl w:val="0"/>
          <w:numId w:val="5"/>
        </w:numPr>
      </w:pPr>
      <w:r>
        <w:rPr>
          <w:rFonts w:hint="eastAsia"/>
        </w:rPr>
        <w:t>单桩功率：60kW，总功率300kW</w:t>
      </w:r>
    </w:p>
    <w:p w14:paraId="28A276FB" w14:textId="77777777" w:rsidR="003C47D2" w:rsidRDefault="003C47D2" w:rsidP="003C47D2">
      <w:pPr>
        <w:pStyle w:val="a9"/>
        <w:numPr>
          <w:ilvl w:val="0"/>
          <w:numId w:val="5"/>
        </w:numPr>
      </w:pPr>
      <w:r>
        <w:rPr>
          <w:rFonts w:hint="eastAsia"/>
        </w:rPr>
        <w:t>光伏供电占比：≥60%</w:t>
      </w:r>
    </w:p>
    <w:p w14:paraId="5E84818E" w14:textId="6B9BD0A1" w:rsidR="003C47D2" w:rsidRDefault="003C47D2" w:rsidP="003C47D2">
      <w:pPr>
        <w:pStyle w:val="a9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输出电压：200-750V DC，支持扫码/刷卡充电</w:t>
      </w:r>
    </w:p>
    <w:p w14:paraId="50A0E268" w14:textId="3027C99A" w:rsidR="003C47D2" w:rsidRDefault="003C47D2" w:rsidP="003C47D2">
      <w:pPr>
        <w:rPr>
          <w:rFonts w:hint="eastAsia"/>
        </w:rPr>
      </w:pPr>
      <w:r>
        <w:rPr>
          <w:rFonts w:hint="eastAsia"/>
        </w:rPr>
        <w:t>三、系统集成实施方案</w:t>
      </w:r>
    </w:p>
    <w:p w14:paraId="5FEAACC3" w14:textId="6EEB9E83" w:rsidR="003C47D2" w:rsidRDefault="003C47D2" w:rsidP="003C47D2">
      <w:pPr>
        <w:rPr>
          <w:rFonts w:hint="eastAsia"/>
        </w:rPr>
      </w:pPr>
      <w:r>
        <w:rPr>
          <w:rFonts w:hint="eastAsia"/>
        </w:rPr>
        <w:t>（一）布局设计（适配BIM轴测图建筑形态）</w:t>
      </w:r>
    </w:p>
    <w:p w14:paraId="48F28BAE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1. 屋面光伏系统：在屋面橙色平整区采用1.8m高支架平铺安装，阵列间距2.5m（保证冬至日9:00-15:00无遮挡），灰色设备区预留2m宽检修通道；支架下方改造为设备仓储区，组件排布顺应屋面排水方向，避免积水影响发电效率。</w:t>
      </w:r>
    </w:p>
    <w:p w14:paraId="1BE5800F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2. 南向幕墙系统：光伏幕墙板仅在南向主立面替代传统玻璃幕墙，与建筑龙骨一体化安装，接缝处采用硅酮密封胶做防水处理；东北侧附属结构立面因采光差、客流量低，保留原有墙体装饰，不布置光伏组件。</w:t>
      </w:r>
    </w:p>
    <w:p w14:paraId="4E6E7DDD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3. 充电桩系统：地上停车场划定独立充电区（靠近商场主入口），5台充电桩分两排布置（间距3m），电缆沿停车场地坪线槽敷设，充电桩电力优先取自屋面光伏，不足部分由电网补充。</w:t>
      </w:r>
    </w:p>
    <w:p w14:paraId="396125FE" w14:textId="391844E6" w:rsidR="003C47D2" w:rsidRDefault="003C47D2" w:rsidP="003C47D2">
      <w:pPr>
        <w:rPr>
          <w:rFonts w:hint="eastAsia"/>
        </w:rPr>
      </w:pPr>
      <w:r>
        <w:rPr>
          <w:rFonts w:hint="eastAsia"/>
        </w:rPr>
        <w:t>4. 能源联动策略：光伏电力优先供给商场1-4层照明、电梯、空调及充电桩用电，余电全额并网；低谷电价时段（23:00-7:00）通过电网补充电力，降低用电成本。</w:t>
      </w:r>
    </w:p>
    <w:p w14:paraId="6C9B30EE" w14:textId="7BC4A329" w:rsidR="003C47D2" w:rsidRDefault="003C47D2" w:rsidP="003C47D2">
      <w:pPr>
        <w:rPr>
          <w:rFonts w:hint="eastAsia"/>
        </w:rPr>
      </w:pPr>
      <w:r>
        <w:rPr>
          <w:rFonts w:hint="eastAsia"/>
        </w:rPr>
        <w:t>（二）施工流程（分时段施工，不影响商场营业）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3C47D2" w:rsidRPr="003C47D2" w14:paraId="04BA2EAA" w14:textId="77777777" w:rsidTr="003C47D2">
        <w:trPr>
          <w:jc w:val="center"/>
        </w:trPr>
        <w:tc>
          <w:tcPr>
            <w:tcW w:w="1659" w:type="dxa"/>
          </w:tcPr>
          <w:p w14:paraId="0209FA6A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施工阶段</w:t>
            </w:r>
          </w:p>
        </w:tc>
        <w:tc>
          <w:tcPr>
            <w:tcW w:w="1659" w:type="dxa"/>
          </w:tcPr>
          <w:p w14:paraId="53D86F40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具体内容</w:t>
            </w:r>
          </w:p>
        </w:tc>
        <w:tc>
          <w:tcPr>
            <w:tcW w:w="1659" w:type="dxa"/>
          </w:tcPr>
          <w:p w14:paraId="3130D3AD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工期</w:t>
            </w:r>
          </w:p>
        </w:tc>
        <w:tc>
          <w:tcPr>
            <w:tcW w:w="1659" w:type="dxa"/>
          </w:tcPr>
          <w:p w14:paraId="39357422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施工时段</w:t>
            </w:r>
          </w:p>
        </w:tc>
      </w:tr>
      <w:tr w:rsidR="003C47D2" w:rsidRPr="003C47D2" w14:paraId="21E2C2EE" w14:textId="77777777" w:rsidTr="003C47D2">
        <w:trPr>
          <w:jc w:val="center"/>
        </w:trPr>
        <w:tc>
          <w:tcPr>
            <w:tcW w:w="1659" w:type="dxa"/>
          </w:tcPr>
          <w:p w14:paraId="759CD179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前期准备</w:t>
            </w:r>
          </w:p>
        </w:tc>
        <w:tc>
          <w:tcPr>
            <w:tcW w:w="1659" w:type="dxa"/>
          </w:tcPr>
          <w:p w14:paraId="1C1D051F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荷载验算、并网审批、结构复核</w:t>
            </w:r>
          </w:p>
        </w:tc>
        <w:tc>
          <w:tcPr>
            <w:tcW w:w="1659" w:type="dxa"/>
          </w:tcPr>
          <w:p w14:paraId="205A3AF9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10天</w:t>
            </w:r>
          </w:p>
        </w:tc>
        <w:tc>
          <w:tcPr>
            <w:tcW w:w="1659" w:type="dxa"/>
          </w:tcPr>
          <w:p w14:paraId="40952B96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正常营业时间</w:t>
            </w:r>
          </w:p>
        </w:tc>
      </w:tr>
      <w:tr w:rsidR="003C47D2" w:rsidRPr="003C47D2" w14:paraId="568EED11" w14:textId="77777777" w:rsidTr="003C47D2">
        <w:trPr>
          <w:jc w:val="center"/>
        </w:trPr>
        <w:tc>
          <w:tcPr>
            <w:tcW w:w="1659" w:type="dxa"/>
          </w:tcPr>
          <w:p w14:paraId="135CEBDF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屋面光伏施工</w:t>
            </w:r>
          </w:p>
        </w:tc>
        <w:tc>
          <w:tcPr>
            <w:tcW w:w="1659" w:type="dxa"/>
          </w:tcPr>
          <w:p w14:paraId="6ED18175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支架浇筑→组件安装→电缆敷设</w:t>
            </w:r>
          </w:p>
        </w:tc>
        <w:tc>
          <w:tcPr>
            <w:tcW w:w="1659" w:type="dxa"/>
          </w:tcPr>
          <w:p w14:paraId="76604F3A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15天</w:t>
            </w:r>
          </w:p>
        </w:tc>
        <w:tc>
          <w:tcPr>
            <w:tcW w:w="1659" w:type="dxa"/>
          </w:tcPr>
          <w:p w14:paraId="67CC494C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夜间22:00-次日6:00</w:t>
            </w:r>
          </w:p>
        </w:tc>
      </w:tr>
      <w:tr w:rsidR="003C47D2" w:rsidRPr="003C47D2" w14:paraId="08F36A3B" w14:textId="77777777" w:rsidTr="003C47D2">
        <w:trPr>
          <w:jc w:val="center"/>
        </w:trPr>
        <w:tc>
          <w:tcPr>
            <w:tcW w:w="1659" w:type="dxa"/>
          </w:tcPr>
          <w:p w14:paraId="442981DD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lastRenderedPageBreak/>
              <w:t>幕墙光伏施工</w:t>
            </w:r>
          </w:p>
        </w:tc>
        <w:tc>
          <w:tcPr>
            <w:tcW w:w="1659" w:type="dxa"/>
          </w:tcPr>
          <w:p w14:paraId="0767C937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龙骨加固→组件吊装→密封调试</w:t>
            </w:r>
          </w:p>
        </w:tc>
        <w:tc>
          <w:tcPr>
            <w:tcW w:w="1659" w:type="dxa"/>
          </w:tcPr>
          <w:p w14:paraId="339EF2DC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20天</w:t>
            </w:r>
          </w:p>
        </w:tc>
        <w:tc>
          <w:tcPr>
            <w:tcW w:w="1659" w:type="dxa"/>
          </w:tcPr>
          <w:p w14:paraId="73D7BE61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周末及节假日</w:t>
            </w:r>
          </w:p>
        </w:tc>
      </w:tr>
      <w:tr w:rsidR="003C47D2" w:rsidRPr="003C47D2" w14:paraId="744A473B" w14:textId="77777777" w:rsidTr="003C47D2">
        <w:trPr>
          <w:jc w:val="center"/>
        </w:trPr>
        <w:tc>
          <w:tcPr>
            <w:tcW w:w="1659" w:type="dxa"/>
          </w:tcPr>
          <w:p w14:paraId="7D3F155F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热泵/充电桩施工</w:t>
            </w:r>
          </w:p>
        </w:tc>
        <w:tc>
          <w:tcPr>
            <w:tcW w:w="1659" w:type="dxa"/>
          </w:tcPr>
          <w:p w14:paraId="7823E9B3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设备安装→管路/线路铺设→调试</w:t>
            </w:r>
          </w:p>
        </w:tc>
        <w:tc>
          <w:tcPr>
            <w:tcW w:w="1659" w:type="dxa"/>
          </w:tcPr>
          <w:p w14:paraId="14C9728A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15天</w:t>
            </w:r>
          </w:p>
        </w:tc>
        <w:tc>
          <w:tcPr>
            <w:tcW w:w="1659" w:type="dxa"/>
          </w:tcPr>
          <w:p w14:paraId="0F3BCB03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夜间22:00-次日6:00</w:t>
            </w:r>
          </w:p>
        </w:tc>
      </w:tr>
      <w:tr w:rsidR="003C47D2" w:rsidRPr="003C47D2" w14:paraId="60C64326" w14:textId="77777777" w:rsidTr="003C47D2">
        <w:trPr>
          <w:jc w:val="center"/>
        </w:trPr>
        <w:tc>
          <w:tcPr>
            <w:tcW w:w="1659" w:type="dxa"/>
          </w:tcPr>
          <w:p w14:paraId="609B9406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系统联调</w:t>
            </w:r>
          </w:p>
        </w:tc>
        <w:tc>
          <w:tcPr>
            <w:tcW w:w="1659" w:type="dxa"/>
          </w:tcPr>
          <w:p w14:paraId="4B8A921B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智能控制搭建+并网验收</w:t>
            </w:r>
          </w:p>
        </w:tc>
        <w:tc>
          <w:tcPr>
            <w:tcW w:w="1659" w:type="dxa"/>
          </w:tcPr>
          <w:p w14:paraId="1E13ED2D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5天</w:t>
            </w:r>
          </w:p>
        </w:tc>
        <w:tc>
          <w:tcPr>
            <w:tcW w:w="1659" w:type="dxa"/>
          </w:tcPr>
          <w:p w14:paraId="7D7EA93E" w14:textId="77777777" w:rsidR="003C47D2" w:rsidRPr="003C47D2" w:rsidRDefault="003C47D2" w:rsidP="0023576F">
            <w:pPr>
              <w:rPr>
                <w:rFonts w:hint="eastAsia"/>
              </w:rPr>
            </w:pPr>
            <w:r w:rsidRPr="003C47D2">
              <w:rPr>
                <w:rFonts w:hint="eastAsia"/>
              </w:rPr>
              <w:t>夜间22:00-次日6:00</w:t>
            </w:r>
          </w:p>
        </w:tc>
      </w:tr>
    </w:tbl>
    <w:p w14:paraId="7008E62D" w14:textId="77777777" w:rsidR="003C47D2" w:rsidRDefault="003C47D2" w:rsidP="003C47D2">
      <w:r>
        <w:rPr>
          <w:rFonts w:hint="eastAsia"/>
        </w:rPr>
        <w:t xml:space="preserve"> </w:t>
      </w:r>
    </w:p>
    <w:p w14:paraId="6B7F0ECB" w14:textId="0033DED7" w:rsidR="003C47D2" w:rsidRDefault="003C47D2" w:rsidP="003C47D2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>、产能预估及结论</w:t>
      </w:r>
    </w:p>
    <w:p w14:paraId="0E1CE534" w14:textId="3BD328D8" w:rsidR="003C47D2" w:rsidRDefault="003C47D2" w:rsidP="003C47D2">
      <w:pPr>
        <w:rPr>
          <w:rFonts w:hint="eastAsia"/>
        </w:rPr>
      </w:pPr>
      <w:r>
        <w:rPr>
          <w:rFonts w:hint="eastAsia"/>
        </w:rPr>
        <w:t>（一）产能预估</w:t>
      </w:r>
    </w:p>
    <w:p w14:paraId="0591AEB2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1. 年发电量计算</w:t>
      </w:r>
    </w:p>
    <w:p w14:paraId="40E79BFC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总装机容量=500kW（屋面）+90kW（幕墙）=590kW</w:t>
      </w:r>
    </w:p>
    <w:p w14:paraId="1057EAAA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年发电量=590kW×1100h×82%=53.2万kWh</w:t>
      </w:r>
    </w:p>
    <w:p w14:paraId="78EBBA1E" w14:textId="66AF824A" w:rsidR="003C47D2" w:rsidRDefault="003C47D2" w:rsidP="003C47D2">
      <w:pPr>
        <w:rPr>
          <w:rFonts w:hint="eastAsia"/>
        </w:rPr>
      </w:pPr>
      <w:r>
        <w:rPr>
          <w:rFonts w:hint="eastAsia"/>
        </w:rPr>
        <w:t>2. 长期产能：25年总发电量约1330万kWh，25年末组件功率保持≥80%；极端天气下（暴雨、台风），系统发电量波动≤10%。</w:t>
      </w:r>
    </w:p>
    <w:p w14:paraId="45A4C71C" w14:textId="36A86EAD" w:rsidR="003C47D2" w:rsidRDefault="003C47D2" w:rsidP="003C47D2">
      <w:pPr>
        <w:rPr>
          <w:rFonts w:hint="eastAsia"/>
        </w:rPr>
      </w:pPr>
      <w:r>
        <w:rPr>
          <w:rFonts w:hint="eastAsia"/>
        </w:rPr>
        <w:t>（二）效益结论</w:t>
      </w:r>
    </w:p>
    <w:p w14:paraId="5D775DAE" w14:textId="77777777" w:rsidR="003C47D2" w:rsidRDefault="003C47D2" w:rsidP="003C47D2">
      <w:pPr>
        <w:rPr>
          <w:rFonts w:hint="eastAsia"/>
        </w:rPr>
      </w:pPr>
      <w:r>
        <w:rPr>
          <w:rFonts w:hint="eastAsia"/>
        </w:rPr>
        <w:t>1. 经济效益</w:t>
      </w:r>
    </w:p>
    <w:p w14:paraId="61985659" w14:textId="77777777" w:rsidR="003C47D2" w:rsidRDefault="003C47D2" w:rsidP="003C47D2">
      <w:pPr>
        <w:pStyle w:val="a9"/>
        <w:numPr>
          <w:ilvl w:val="0"/>
          <w:numId w:val="6"/>
        </w:numPr>
      </w:pPr>
      <w:r>
        <w:rPr>
          <w:rFonts w:hint="eastAsia"/>
        </w:rPr>
        <w:t>年电费节省：53.2万kWh×0.8元/kWh（商业电价）=42.56万元</w:t>
      </w:r>
    </w:p>
    <w:p w14:paraId="2DBD2A64" w14:textId="77777777" w:rsidR="003C47D2" w:rsidRDefault="003C47D2" w:rsidP="003C47D2">
      <w:pPr>
        <w:pStyle w:val="a9"/>
        <w:numPr>
          <w:ilvl w:val="0"/>
          <w:numId w:val="6"/>
        </w:numPr>
      </w:pPr>
      <w:r>
        <w:rPr>
          <w:rFonts w:hint="eastAsia"/>
        </w:rPr>
        <w:t>余电并网收益：53.2万kWh×30%×0.4元/kWh=6.4万元/年</w:t>
      </w:r>
    </w:p>
    <w:p w14:paraId="667D28B4" w14:textId="76C63A72" w:rsidR="003C47D2" w:rsidRDefault="003C47D2" w:rsidP="003C47D2">
      <w:pPr>
        <w:pStyle w:val="a9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投资回收期：约7.8年（含设备、施工、并网总投资400万元）</w:t>
      </w:r>
    </w:p>
    <w:p w14:paraId="1AB1596C" w14:textId="77777777" w:rsidR="003C47D2" w:rsidRDefault="003C47D2" w:rsidP="003C47D2">
      <w:r>
        <w:rPr>
          <w:rFonts w:hint="eastAsia"/>
        </w:rPr>
        <w:t>2. 环境效益</w:t>
      </w:r>
    </w:p>
    <w:p w14:paraId="2BEC1E81" w14:textId="77777777" w:rsidR="003C47D2" w:rsidRPr="003C47D2" w:rsidRDefault="003C47D2" w:rsidP="003C47D2">
      <w:pPr>
        <w:pStyle w:val="a9"/>
        <w:numPr>
          <w:ilvl w:val="0"/>
          <w:numId w:val="8"/>
        </w:numPr>
      </w:pPr>
      <w:r>
        <w:t>年减碳量：53.2万kWh×0.785kg/kWh≈417吨CO</w:t>
      </w:r>
      <w:r w:rsidRPr="003C47D2">
        <w:rPr>
          <w:rFonts w:ascii="Cambria Math" w:hAnsi="Cambria Math" w:cs="Cambria Math"/>
        </w:rPr>
        <w:t>₂</w:t>
      </w:r>
    </w:p>
    <w:p w14:paraId="25F2C54A" w14:textId="7495A51C" w:rsidR="003C47D2" w:rsidRDefault="003C47D2" w:rsidP="003C47D2">
      <w:pPr>
        <w:pStyle w:val="a9"/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年减少二氧化硫排放12吨、氮氧化物排放5吨，符合寒冷地区公建节能减排要求</w:t>
      </w:r>
    </w:p>
    <w:p w14:paraId="0780C693" w14:textId="77777777" w:rsidR="003C47D2" w:rsidRDefault="003C47D2" w:rsidP="003C47D2">
      <w:r>
        <w:rPr>
          <w:rFonts w:hint="eastAsia"/>
        </w:rPr>
        <w:t>3. 建筑效益</w:t>
      </w:r>
    </w:p>
    <w:p w14:paraId="4CE522C4" w14:textId="77777777" w:rsidR="003C47D2" w:rsidRDefault="003C47D2" w:rsidP="003C47D2">
      <w:pPr>
        <w:pStyle w:val="a9"/>
        <w:numPr>
          <w:ilvl w:val="0"/>
          <w:numId w:val="9"/>
        </w:numPr>
      </w:pPr>
      <w:r>
        <w:rPr>
          <w:rFonts w:hint="eastAsia"/>
        </w:rPr>
        <w:t>光伏屋面降低屋面温度5-8℃，光伏幕墙减少夏季室内辐射热，合计降低空调能耗15%；</w:t>
      </w:r>
    </w:p>
    <w:p w14:paraId="349AEF0F" w14:textId="25E7E912" w:rsidR="0066007D" w:rsidRDefault="003C47D2" w:rsidP="003C47D2">
      <w:pPr>
        <w:pStyle w:val="a9"/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项目满足《绿色建筑评价标准》三星级要求，结合BIM建筑形态的光伏布局也提升了商场绿色科技形象。</w:t>
      </w:r>
    </w:p>
    <w:sectPr w:rsidR="00660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A6A"/>
    <w:multiLevelType w:val="hybridMultilevel"/>
    <w:tmpl w:val="5AF629C2"/>
    <w:lvl w:ilvl="0" w:tplc="00B0CE3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5"/>
        <w:szCs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0168AA"/>
    <w:multiLevelType w:val="hybridMultilevel"/>
    <w:tmpl w:val="1EBA1F94"/>
    <w:lvl w:ilvl="0" w:tplc="00B0CE3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5"/>
        <w:szCs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A82CCB"/>
    <w:multiLevelType w:val="hybridMultilevel"/>
    <w:tmpl w:val="B2A6421E"/>
    <w:lvl w:ilvl="0" w:tplc="C9F0B34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5"/>
        <w:szCs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CB50A4"/>
    <w:multiLevelType w:val="hybridMultilevel"/>
    <w:tmpl w:val="8278B1CE"/>
    <w:lvl w:ilvl="0" w:tplc="D9F661B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5"/>
        <w:szCs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8B2288"/>
    <w:multiLevelType w:val="hybridMultilevel"/>
    <w:tmpl w:val="D916E2E2"/>
    <w:lvl w:ilvl="0" w:tplc="00B0CE3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5"/>
        <w:szCs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6073EE"/>
    <w:multiLevelType w:val="hybridMultilevel"/>
    <w:tmpl w:val="A32083D8"/>
    <w:lvl w:ilvl="0" w:tplc="751E7A26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5"/>
        <w:szCs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0A570A"/>
    <w:multiLevelType w:val="hybridMultilevel"/>
    <w:tmpl w:val="F9806EF4"/>
    <w:lvl w:ilvl="0" w:tplc="00B0CE3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5"/>
        <w:szCs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D3768FD"/>
    <w:multiLevelType w:val="hybridMultilevel"/>
    <w:tmpl w:val="ED7081E4"/>
    <w:lvl w:ilvl="0" w:tplc="00B0CE34">
      <w:start w:val="1"/>
      <w:numFmt w:val="bullet"/>
      <w:lvlText w:val=""/>
      <w:lvlJc w:val="left"/>
      <w:pPr>
        <w:ind w:left="553" w:hanging="440"/>
      </w:pPr>
      <w:rPr>
        <w:rFonts w:ascii="Wingdings" w:hAnsi="Wingdings" w:hint="default"/>
        <w:sz w:val="15"/>
        <w:szCs w:val="16"/>
      </w:rPr>
    </w:lvl>
    <w:lvl w:ilvl="1" w:tplc="04090003" w:tentative="1">
      <w:start w:val="1"/>
      <w:numFmt w:val="bullet"/>
      <w:lvlText w:val=""/>
      <w:lvlJc w:val="left"/>
      <w:pPr>
        <w:ind w:left="99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8" w15:restartNumberingAfterBreak="0">
    <w:nsid w:val="7F6047C3"/>
    <w:multiLevelType w:val="hybridMultilevel"/>
    <w:tmpl w:val="2CE25B6A"/>
    <w:lvl w:ilvl="0" w:tplc="74D0C66C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5"/>
        <w:szCs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0188795">
    <w:abstractNumId w:val="3"/>
  </w:num>
  <w:num w:numId="2" w16cid:durableId="2046976899">
    <w:abstractNumId w:val="5"/>
  </w:num>
  <w:num w:numId="3" w16cid:durableId="285359637">
    <w:abstractNumId w:val="8"/>
  </w:num>
  <w:num w:numId="4" w16cid:durableId="753547565">
    <w:abstractNumId w:val="2"/>
  </w:num>
  <w:num w:numId="5" w16cid:durableId="1150561868">
    <w:abstractNumId w:val="6"/>
  </w:num>
  <w:num w:numId="6" w16cid:durableId="1682320113">
    <w:abstractNumId w:val="1"/>
  </w:num>
  <w:num w:numId="7" w16cid:durableId="1569681411">
    <w:abstractNumId w:val="7"/>
  </w:num>
  <w:num w:numId="8" w16cid:durableId="284040770">
    <w:abstractNumId w:val="0"/>
  </w:num>
  <w:num w:numId="9" w16cid:durableId="904532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D2"/>
    <w:rsid w:val="001B1B11"/>
    <w:rsid w:val="003C47D2"/>
    <w:rsid w:val="004D41D7"/>
    <w:rsid w:val="0066007D"/>
    <w:rsid w:val="009B4F76"/>
    <w:rsid w:val="00C30F9B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DB4B"/>
  <w15:chartTrackingRefBased/>
  <w15:docId w15:val="{FBC8E868-E4A2-4B2E-9E50-394D1B1B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7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7D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7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7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7D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7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7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7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47D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莹杰 张</dc:creator>
  <cp:keywords/>
  <dc:description/>
  <cp:lastModifiedBy>莹杰 张</cp:lastModifiedBy>
  <cp:revision>1</cp:revision>
  <dcterms:created xsi:type="dcterms:W3CDTF">2026-01-04T09:20:00Z</dcterms:created>
  <dcterms:modified xsi:type="dcterms:W3CDTF">2026-01-04T09:38:00Z</dcterms:modified>
</cp:coreProperties>
</file>