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111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项目名称：111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围护结构提高11.2%或负荷降低6%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25.3%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应用比例62.3%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全寿命期单位建筑面积碳排放强为15kgCO2/（m2·a）减碳率65.3%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