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D8504"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4.1.4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建筑内部的非结构件、设备及附属设施等应连接牢固并能适应主体结构变形。</w:t>
      </w:r>
    </w:p>
    <w:p w14:paraId="6EAD6A1C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1D0B8B35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346985915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73500579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203FABCF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1B09A13D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请对建筑内部的非结构件、设备及附属设施等的连接</w:t>
      </w:r>
      <w:r>
        <w:rPr>
          <w:rFonts w:hint="eastAsia" w:ascii="Times New Roman" w:hAnsi="Times New Roman" w:eastAsia="宋体" w:cs="Times New Roman"/>
          <w:szCs w:val="21"/>
        </w:rPr>
        <w:t>情况进行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70CC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00381C45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本项目建筑内部的非结构件、设备及附属设施在设计、施工及验收阶段均采取了可靠的连接措施，并充分考虑了主体结构变形的影响，确保其安全性及使用功能。具体说明如下：</w:t>
            </w:r>
          </w:p>
          <w:p w14:paraId="7279F916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非结构构件：建筑内部的隔墙、吊顶、幕墙等非结构构件与主体结构之间均采用柔性连接或设置变形缝。轻质隔墙与梁、板、柱交接处设置拉结筋或钢卡件，并预留伸缩缝隙，填充柔性材料；吊顶系统采用可调节吊杆，主次龙骨间设置伸缩缝，并在结构变形敏感区域（如结构转换层、伸缩缝两侧）设置独立吊挂系统，避免因主体结构变形导致开裂或损坏。</w:t>
            </w:r>
          </w:p>
          <w:p w14:paraId="50C75608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设备及附属设施：各类大型设备（如电梯、扶梯、空调机组、水泵等）的基础与主体结构可靠锚固，设备与管道连接处采用柔性接头（如橡胶软接、金属软管），以吸收结构变形及设备振动。电梯导轨与井道壁连接采用弹性支架，扶梯桁架与结构连接处设置可调节支座，确保在主体结构发生徐变、沉降或地震作用时仍能保持运行安全。</w:t>
            </w:r>
          </w:p>
          <w:p w14:paraId="02AA8735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管道及管线系统：给排水、暖通、电气等管线穿越结构变形缝（伸缩缝、沉降缝、抗震缝）时，均设置补偿装置（如金属软管、伸缩节、过缝盒），并在穿墙、穿楼板处采用防火封堵和柔性密封。管道支吊架采用弹性或减振支吊架，避免因结构变形导致管道应力集中或损坏。</w:t>
            </w:r>
          </w:p>
          <w:p w14:paraId="6277EDED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附属设施（灯具、传感器、风口等）：室内吊顶上的灯具、风口、传感器等与结构楼板或吊顶龙骨可靠固定，且布置时避开结构变形缝区域。当无法避开时，采用独立的悬吊装置或可调节连接件，确保连接牢固且适应变形。</w:t>
            </w:r>
          </w:p>
        </w:tc>
      </w:tr>
    </w:tbl>
    <w:p w14:paraId="3ACE5EE6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7BF03567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1D05919A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建筑、结构</w:t>
      </w:r>
      <w:r>
        <w:rPr>
          <w:rFonts w:hint="eastAsia" w:ascii="Times New Roman" w:hAnsi="Times New Roman" w:eastAsia="宋体" w:cs="Times New Roman"/>
          <w:szCs w:val="21"/>
        </w:rPr>
        <w:t>竣工</w:t>
      </w:r>
      <w:r>
        <w:rPr>
          <w:rFonts w:ascii="Times New Roman" w:hAnsi="Times New Roman" w:eastAsia="宋体" w:cs="Times New Roman"/>
          <w:szCs w:val="21"/>
        </w:rPr>
        <w:t>图</w:t>
      </w:r>
      <w:r>
        <w:rPr>
          <w:rFonts w:hint="eastAsia" w:ascii="Times New Roman" w:hAnsi="Times New Roman" w:eastAsia="宋体" w:cs="Times New Roman"/>
          <w:szCs w:val="21"/>
        </w:rPr>
        <w:t>和设计说明；</w:t>
      </w:r>
    </w:p>
    <w:p w14:paraId="41BF523D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2）关键构件计算书；</w:t>
      </w:r>
    </w:p>
    <w:p w14:paraId="78565FAA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3）相关检测报告；</w:t>
      </w:r>
    </w:p>
    <w:p w14:paraId="2D96F711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4）建筑的维修与管理记录。</w:t>
      </w:r>
    </w:p>
    <w:p w14:paraId="58600FDE">
      <w:pPr>
        <w:rPr>
          <w:rFonts w:ascii="Times New Roman" w:hAnsi="Times New Roman" w:eastAsia="宋体" w:cs="Times New Roman"/>
          <w:szCs w:val="21"/>
        </w:rPr>
      </w:pPr>
    </w:p>
    <w:p w14:paraId="4DE9D31A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77B0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1F6035D2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drawing>
                <wp:inline distT="0" distB="0" distL="114300" distR="114300">
                  <wp:extent cx="5266055" cy="3121025"/>
                  <wp:effectExtent l="0" t="0" r="4445" b="317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6055" cy="312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 w14:paraId="5E40284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A36"/>
    <w:rsid w:val="00026340"/>
    <w:rsid w:val="00074A38"/>
    <w:rsid w:val="00141669"/>
    <w:rsid w:val="005157A0"/>
    <w:rsid w:val="008D61F7"/>
    <w:rsid w:val="00A066ED"/>
    <w:rsid w:val="00CA5A36"/>
    <w:rsid w:val="00F80237"/>
    <w:rsid w:val="6C18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153</Words>
  <Characters>157</Characters>
  <Lines>1</Lines>
  <Paragraphs>1</Paragraphs>
  <TotalTime>6</TotalTime>
  <ScaleCrop>false</ScaleCrop>
  <LinksUpToDate>false</LinksUpToDate>
  <CharactersWithSpaces>161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2019-07-12T07:39:00Z</dcterms:created>
  <dc:creator>dongYP</dc:creator>
  <cp:lastModifiedBy>妖精的口袋</cp:lastModifiedBy>
  <dcterms:modified xsi:type="dcterms:W3CDTF">2026-03-27T09:03:56Z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eyJoZGlkIjoiMTdmMGYzN2JlNDk2MTMwN2QyNWUxODIxNmM3YWJlYjAiLCJ1c2VySWQiOiI2MzUxMDcwMDYifQ==</vt:lpwstr>
  </property>
  <property fmtid="{D5CDD505-2E9C-101B-9397-08002B2CF9AE}" pid="3" name="KSOProductBuildVer">
    <vt:lpwstr>2052-12.1.0.25225</vt:lpwstr>
  </property>
  <property fmtid="{D5CDD505-2E9C-101B-9397-08002B2CF9AE}" pid="4" name="ICV">
    <vt:lpwstr>5DEA17B4EDF244A7946EF7785FD640A6_12</vt:lpwstr>
  </property>
</Properties>
</file>