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03C1B1">
      <w:pPr>
        <w:pStyle w:val="3"/>
        <w:rPr>
          <w:rFonts w:eastAsiaTheme="minorEastAsia"/>
          <w:sz w:val="24"/>
          <w:szCs w:val="40"/>
        </w:rPr>
      </w:pPr>
      <w:r>
        <w:rPr>
          <w:rFonts w:eastAsiaTheme="minorEastAsia"/>
          <w:sz w:val="24"/>
          <w:szCs w:val="40"/>
        </w:rPr>
        <w:t>4.2.4</w:t>
      </w:r>
      <w:r>
        <w:rPr>
          <w:rFonts w:hint="eastAsia" w:eastAsiaTheme="minorEastAsia"/>
          <w:sz w:val="24"/>
          <w:szCs w:val="40"/>
        </w:rPr>
        <w:t xml:space="preserve"> </w:t>
      </w:r>
      <w:r>
        <w:rPr>
          <w:rFonts w:eastAsiaTheme="minorEastAsia"/>
          <w:sz w:val="24"/>
          <w:szCs w:val="40"/>
        </w:rPr>
        <w:t>室内外地面或路设置防滑措施。（10分）</w:t>
      </w:r>
    </w:p>
    <w:p w14:paraId="71FA4D04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6"/>
        <w:tblW w:w="46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"/>
        <w:gridCol w:w="4487"/>
        <w:gridCol w:w="1455"/>
        <w:gridCol w:w="1335"/>
      </w:tblGrid>
      <w:tr w14:paraId="3CF99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vAlign w:val="center"/>
          </w:tcPr>
          <w:p w14:paraId="3697BD1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序号</w:t>
            </w:r>
          </w:p>
        </w:tc>
        <w:tc>
          <w:tcPr>
            <w:tcW w:w="2802" w:type="pct"/>
            <w:vAlign w:val="center"/>
          </w:tcPr>
          <w:p w14:paraId="784BA3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评价内容</w:t>
            </w:r>
          </w:p>
        </w:tc>
        <w:tc>
          <w:tcPr>
            <w:tcW w:w="909" w:type="pct"/>
            <w:vAlign w:val="center"/>
          </w:tcPr>
          <w:p w14:paraId="2340C5B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评价分值</w:t>
            </w:r>
          </w:p>
        </w:tc>
        <w:tc>
          <w:tcPr>
            <w:tcW w:w="834" w:type="pct"/>
            <w:vAlign w:val="center"/>
          </w:tcPr>
          <w:p w14:paraId="2D72518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自评得分</w:t>
            </w:r>
          </w:p>
        </w:tc>
      </w:tr>
      <w:tr w14:paraId="04F92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vAlign w:val="center"/>
          </w:tcPr>
          <w:p w14:paraId="7983132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802" w:type="pct"/>
            <w:vAlign w:val="center"/>
          </w:tcPr>
          <w:p w14:paraId="1CE4EE2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建筑出入口及平台、公共走廊、电梯门厅、厨房、浴室、卫生间等设置防滑措施，防滑等级不低于现行行业标准《建筑地面工程防滑技术规程》规定的Bd、Bw级</w:t>
            </w:r>
          </w:p>
        </w:tc>
        <w:tc>
          <w:tcPr>
            <w:tcW w:w="909" w:type="pct"/>
            <w:vAlign w:val="center"/>
          </w:tcPr>
          <w:p w14:paraId="612E852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-2064168752"/>
            <w:placeholder>
              <w:docPart w:val="3F19D33834CC40B2AD8F6B06A73D8952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34" w:type="pct"/>
                <w:vAlign w:val="center"/>
              </w:tcPr>
              <w:p w14:paraId="6E2E4919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3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</w:t>
                </w:r>
              </w:p>
            </w:tc>
          </w:sdtContent>
        </w:sdt>
      </w:tr>
      <w:tr w14:paraId="2642A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vAlign w:val="center"/>
          </w:tcPr>
          <w:p w14:paraId="60D363F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2802" w:type="pct"/>
            <w:vAlign w:val="center"/>
          </w:tcPr>
          <w:p w14:paraId="15B1443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建筑室内外活动场地所采用的防滑地面，防滑等级达到现行行业标准《建筑地面工程防滑技术规程》规定的Ad、Aw级</w:t>
            </w:r>
          </w:p>
        </w:tc>
        <w:tc>
          <w:tcPr>
            <w:tcW w:w="909" w:type="pct"/>
            <w:vAlign w:val="center"/>
          </w:tcPr>
          <w:p w14:paraId="6C6EF60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1463848031"/>
            <w:placeholder>
              <w:docPart w:val="C15EA5BC0CE246D68D0B558903E980A0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34" w:type="pct"/>
                <w:vAlign w:val="center"/>
              </w:tcPr>
              <w:p w14:paraId="645149D0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4</w:t>
                </w:r>
              </w:p>
            </w:tc>
          </w:sdtContent>
        </w:sdt>
      </w:tr>
      <w:tr w14:paraId="76173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4" w:type="pct"/>
            <w:vAlign w:val="center"/>
          </w:tcPr>
          <w:p w14:paraId="59A472F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2802" w:type="pct"/>
            <w:vAlign w:val="center"/>
          </w:tcPr>
          <w:p w14:paraId="20B88F7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建筑坡道、楼梯踏步防滑等级达到现行行业标准《建筑地面工程防滑技术规程》规定的Ad、Aw级或按水平地面等级提高一级，并采用防滑条等防滑构造技术措施</w:t>
            </w:r>
          </w:p>
        </w:tc>
        <w:tc>
          <w:tcPr>
            <w:tcW w:w="909" w:type="pct"/>
            <w:vAlign w:val="center"/>
          </w:tcPr>
          <w:p w14:paraId="5C33813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sdt>
          <w:sdtPr>
            <w:rPr>
              <w:rFonts w:hint="eastAsia" w:ascii="Times New Roman" w:hAnsi="Times New Roman" w:eastAsia="宋体" w:cs="Times New Roman"/>
              <w:szCs w:val="21"/>
            </w:rPr>
            <w:id w:val="2042158027"/>
            <w:placeholder>
              <w:docPart w:val="6F66971033384947BB4D072B749F327B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834" w:type="pct"/>
                <w:vAlign w:val="center"/>
              </w:tcPr>
              <w:p w14:paraId="7FB9E62E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3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7EADA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7" w:type="pct"/>
            <w:gridSpan w:val="2"/>
            <w:vAlign w:val="center"/>
          </w:tcPr>
          <w:p w14:paraId="7C4262A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合计</w:t>
            </w:r>
          </w:p>
        </w:tc>
        <w:tc>
          <w:tcPr>
            <w:tcW w:w="909" w:type="pct"/>
            <w:vAlign w:val="center"/>
          </w:tcPr>
          <w:p w14:paraId="7A51A2A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</w:t>
            </w:r>
          </w:p>
        </w:tc>
        <w:sdt>
          <w:sdtPr>
            <w:rPr>
              <w:rFonts w:ascii="Times New Roman" w:hAnsi="Times New Roman" w:eastAsia="宋体" w:cs="Times New Roman"/>
              <w:kern w:val="0"/>
              <w:szCs w:val="21"/>
            </w:rPr>
            <w:id w:val="1372422739"/>
            <w:placeholder>
              <w:docPart w:val="D899C453B8D7477C97538B1D22DF5D84"/>
            </w:placeholder>
            <w:text/>
          </w:sdtPr>
          <w:sdtEndPr>
            <w:rPr>
              <w:rFonts w:ascii="Times New Roman" w:hAnsi="Times New Roman" w:eastAsia="宋体" w:cs="Times New Roman"/>
              <w:kern w:val="0"/>
              <w:szCs w:val="21"/>
            </w:rPr>
          </w:sdtEndPr>
          <w:sdtContent>
            <w:tc>
              <w:tcPr>
                <w:tcW w:w="834" w:type="pct"/>
                <w:vAlign w:val="center"/>
              </w:tcPr>
              <w:p w14:paraId="16507680">
                <w:pPr>
                  <w:jc w:val="center"/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hint="eastAsia" w:ascii="Times New Roman" w:hAnsi="Times New Roman" w:eastAsia="宋体" w:cs="Times New Roman"/>
                    <w:kern w:val="0"/>
                    <w:szCs w:val="21"/>
                  </w:rPr>
                  <w:t xml:space="preserve"> </w:t>
                </w:r>
                <w:r>
                  <w:rPr>
                    <w:rFonts w:hint="eastAsia" w:ascii="Times New Roman" w:hAnsi="Times New Roman" w:eastAsia="宋体" w:cs="Times New Roman"/>
                    <w:kern w:val="0"/>
                    <w:szCs w:val="21"/>
                    <w:lang w:val="en-US" w:eastAsia="zh-CN"/>
                  </w:rPr>
                  <w:t>10</w:t>
                </w:r>
                <w:r>
                  <w:rPr>
                    <w:rFonts w:hint="eastAsia" w:ascii="Times New Roman" w:hAnsi="Times New Roman" w:eastAsia="宋体" w:cs="Times New Roman"/>
                    <w:kern w:val="0"/>
                    <w:szCs w:val="21"/>
                  </w:rPr>
                  <w:t xml:space="preserve"> </w:t>
                </w:r>
              </w:p>
            </w:tc>
          </w:sdtContent>
        </w:sdt>
      </w:tr>
    </w:tbl>
    <w:p w14:paraId="76FD1EAD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tbl>
      <w:tblPr>
        <w:tblStyle w:val="6"/>
        <w:tblW w:w="46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0"/>
        <w:gridCol w:w="4124"/>
      </w:tblGrid>
      <w:tr w14:paraId="5E2D0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pct"/>
          </w:tcPr>
          <w:p w14:paraId="04DD26A5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类型</w:t>
            </w:r>
          </w:p>
        </w:tc>
        <w:tc>
          <w:tcPr>
            <w:tcW w:w="2576" w:type="pct"/>
          </w:tcPr>
          <w:p w14:paraId="70759AE2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项目情况</w:t>
            </w:r>
          </w:p>
        </w:tc>
      </w:tr>
      <w:tr w14:paraId="44A61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pct"/>
          </w:tcPr>
          <w:p w14:paraId="3F2324B6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建筑出入口及平台、公共走廊、电梯门厅、厨房、浴室、卫生间等设置防滑等级</w:t>
            </w:r>
          </w:p>
        </w:tc>
        <w:tc>
          <w:tcPr>
            <w:tcW w:w="2576" w:type="pct"/>
          </w:tcPr>
          <w:p w14:paraId="593B5D27">
            <w:pPr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出入口及平台：Ad级（干态） / Bw级（湿态）</w:t>
            </w:r>
          </w:p>
          <w:p w14:paraId="2CC166F6">
            <w:pPr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公共走廊、电梯门厅：Ad级</w:t>
            </w:r>
          </w:p>
          <w:p w14:paraId="5A197457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厨房、浴室、卫生间：Aw级（高防滑）</w:t>
            </w:r>
          </w:p>
        </w:tc>
      </w:tr>
      <w:tr w14:paraId="56100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pct"/>
          </w:tcPr>
          <w:p w14:paraId="7105E0F0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建筑室内外活动场地所采用的防滑地面的防滑等级</w:t>
            </w:r>
          </w:p>
        </w:tc>
        <w:tc>
          <w:tcPr>
            <w:tcW w:w="2576" w:type="pct"/>
          </w:tcPr>
          <w:p w14:paraId="5EAAA8AA">
            <w:pPr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室内活动场地：Ad级</w:t>
            </w:r>
          </w:p>
          <w:p w14:paraId="0E3F4639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室外活动场地：Bw级（湿滑条件下防滑）</w:t>
            </w:r>
          </w:p>
        </w:tc>
      </w:tr>
      <w:tr w14:paraId="13666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24" w:type="pct"/>
          </w:tcPr>
          <w:p w14:paraId="5D6316F8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建筑坡道、楼梯踏步防滑等级</w:t>
            </w:r>
          </w:p>
        </w:tc>
        <w:tc>
          <w:tcPr>
            <w:tcW w:w="2576" w:type="pct"/>
          </w:tcPr>
          <w:p w14:paraId="337D9D4E">
            <w:pPr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坡道：Aw级</w:t>
            </w:r>
          </w:p>
          <w:p w14:paraId="5CDA5B09"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楼梯踏步：Ad级（平面）/ Bw级（边缘防滑条）</w:t>
            </w:r>
          </w:p>
        </w:tc>
      </w:tr>
    </w:tbl>
    <w:p w14:paraId="16D521F5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35051C89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34C8A8F9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）建筑竣工图，</w:t>
      </w:r>
      <w:r>
        <w:rPr>
          <w:rFonts w:ascii="Times New Roman" w:hAnsi="Times New Roman" w:eastAsia="宋体" w:cs="Times New Roman"/>
          <w:szCs w:val="21"/>
        </w:rPr>
        <w:t>防</w:t>
      </w:r>
      <w:r>
        <w:rPr>
          <w:rFonts w:hint="eastAsia" w:ascii="Times New Roman" w:hAnsi="Times New Roman" w:eastAsia="宋体" w:cs="Times New Roman"/>
          <w:szCs w:val="21"/>
        </w:rPr>
        <w:t>滑构造做法</w:t>
      </w:r>
      <w:r>
        <w:rPr>
          <w:rFonts w:ascii="Times New Roman" w:hAnsi="Times New Roman" w:eastAsia="宋体" w:cs="Times New Roman"/>
          <w:szCs w:val="21"/>
        </w:rPr>
        <w:t>等设计</w:t>
      </w:r>
      <w:r>
        <w:rPr>
          <w:rFonts w:hint="eastAsia" w:ascii="Times New Roman" w:hAnsi="Times New Roman" w:eastAsia="宋体" w:cs="Times New Roman"/>
          <w:szCs w:val="21"/>
        </w:rPr>
        <w:t>文</w:t>
      </w:r>
      <w:r>
        <w:rPr>
          <w:rFonts w:ascii="Times New Roman" w:hAnsi="Times New Roman" w:eastAsia="宋体" w:cs="Times New Roman"/>
          <w:szCs w:val="21"/>
        </w:rPr>
        <w:t>件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 w14:paraId="3DE509AD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2）防滑材料相关</w:t>
      </w:r>
      <w:r>
        <w:rPr>
          <w:rFonts w:ascii="Times New Roman" w:hAnsi="Times New Roman" w:eastAsia="宋体" w:cs="Times New Roman"/>
          <w:szCs w:val="21"/>
        </w:rPr>
        <w:t>测试报告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p w14:paraId="09401209">
      <w:pPr>
        <w:rPr>
          <w:rFonts w:ascii="Times New Roman" w:hAnsi="Times New Roman" w:eastAsia="宋体" w:cs="Times New Roman"/>
          <w:szCs w:val="21"/>
        </w:rPr>
      </w:pPr>
    </w:p>
    <w:p w14:paraId="633CBBDF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414E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6933B46F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269865" cy="2707640"/>
                  <wp:effectExtent l="0" t="0" r="635" b="1016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270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460750" cy="4089400"/>
                  <wp:effectExtent l="0" t="0" r="635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50" cy="408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350A29E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FCC"/>
    <w:rsid w:val="00074A38"/>
    <w:rsid w:val="000F7FCC"/>
    <w:rsid w:val="003A5E78"/>
    <w:rsid w:val="005B034A"/>
    <w:rsid w:val="0097357A"/>
    <w:rsid w:val="00A42237"/>
    <w:rsid w:val="0D02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uiPriority w:val="99"/>
    <w:rPr>
      <w:color w:val="808080"/>
    </w:rPr>
  </w:style>
  <w:style w:type="table" w:customStyle="1" w:styleId="13">
    <w:name w:val="网格型1"/>
    <w:basedOn w:val="6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glossaryDocument" Target="glossary/document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3F19D33834CC40B2AD8F6B06A73D895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3FDE0D0-127F-42D8-943A-C1003BC722C9}"/>
      </w:docPartPr>
      <w:docPartBody>
        <w:p w14:paraId="21F13FB1"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C15EA5BC0CE246D68D0B558903E980A0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87B496A-8EA2-479A-A398-11E66599D89A}"/>
      </w:docPartPr>
      <w:docPartBody>
        <w:p w14:paraId="01877813">
          <w:pPr>
            <w:pStyle w:val="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6F66971033384947BB4D072B749F327B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1C310D2-222D-4EA0-9AEA-110EE195C6B5}"/>
      </w:docPartPr>
      <w:docPartBody>
        <w:p w14:paraId="3EBA99E6">
          <w:pPr>
            <w:pStyle w:val="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D899C453B8D7477C97538B1D22DF5D84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38A5228-20E0-4B4E-93D7-CC2897BD1ACC}"/>
      </w:docPartPr>
      <w:docPartBody>
        <w:p w14:paraId="1A5CA177">
          <w:pPr>
            <w:pStyle w:val="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25F"/>
    <w:rsid w:val="00170D9C"/>
    <w:rsid w:val="008A5E28"/>
    <w:rsid w:val="00C5725F"/>
    <w:rsid w:val="00DF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uiPriority w:val="99"/>
    <w:rPr>
      <w:color w:val="808080"/>
    </w:rPr>
  </w:style>
  <w:style w:type="paragraph" w:customStyle="1" w:styleId="5">
    <w:name w:val="3F19D33834CC40B2AD8F6B06A73D8952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C15EA5BC0CE246D68D0B558903E980A0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6F66971033384947BB4D072B749F327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D899C453B8D7477C97538B1D22DF5D84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8685AC62D3E34BF4B97E48D83BDBFC8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3F1B3A61F5C346989EC2582035C54F7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AA2726C2C1B64D66BE4D30E41B5693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C3A96ED0D76E405B9CE43ED7AAB8836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372</Words>
  <Characters>384</Characters>
  <Lines>3</Lines>
  <Paragraphs>1</Paragraphs>
  <TotalTime>3</TotalTime>
  <ScaleCrop>false</ScaleCrop>
  <LinksUpToDate>false</LinksUpToDate>
  <CharactersWithSpaces>396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2019-07-12T07:44:00Z</dcterms:created>
  <dc:creator>dongYP</dc:creator>
  <cp:lastModifiedBy>妖精的口袋</cp:lastModifiedBy>
  <dcterms:modified xsi:type="dcterms:W3CDTF">2026-03-27T09:29:31Z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eyJoZGlkIjoiMTdmMGYzN2JlNDk2MTMwN2QyNWUxODIxNmM3YWJlYjAiLCJ1c2VySWQiOiI2MzUxMDcwMDYifQ==</vt:lpwstr>
  </property>
  <property fmtid="{D5CDD505-2E9C-101B-9397-08002B2CF9AE}" pid="3" name="KSOProductBuildVer">
    <vt:lpwstr>2052-12.1.0.25225</vt:lpwstr>
  </property>
  <property fmtid="{D5CDD505-2E9C-101B-9397-08002B2CF9AE}" pid="4" name="ICV">
    <vt:lpwstr>330F534E47674933BD09A7092DBF24C6_12</vt:lpwstr>
  </property>
</Properties>
</file>