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A689FE">
      <w:pPr>
        <w:pStyle w:val="3"/>
        <w:rPr>
          <w:b w:val="0"/>
          <w:bCs w:val="0"/>
          <w:sz w:val="24"/>
          <w:szCs w:val="28"/>
        </w:rPr>
      </w:pPr>
      <w:r>
        <w:rPr>
          <w:rFonts w:eastAsiaTheme="minorEastAsia"/>
          <w:sz w:val="24"/>
          <w:szCs w:val="40"/>
        </w:rPr>
        <w:t>5.2.4</w:t>
      </w:r>
      <w:r>
        <w:rPr>
          <w:rFonts w:hint="eastAsia" w:eastAsiaTheme="minorEastAsia"/>
          <w:sz w:val="24"/>
          <w:szCs w:val="40"/>
        </w:rPr>
        <w:t xml:space="preserve"> </w:t>
      </w:r>
      <w:r>
        <w:rPr>
          <w:rFonts w:eastAsiaTheme="minorEastAsia"/>
          <w:sz w:val="24"/>
          <w:szCs w:val="40"/>
        </w:rPr>
        <w:t>生活饮用水水池、水箱等储水设施采取措施满足卫生要求。（9分）</w:t>
      </w:r>
    </w:p>
    <w:p w14:paraId="45DF49AD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得分自评</w:t>
      </w:r>
    </w:p>
    <w:tbl>
      <w:tblPr>
        <w:tblStyle w:val="6"/>
        <w:tblW w:w="487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0"/>
        <w:gridCol w:w="4364"/>
        <w:gridCol w:w="1575"/>
        <w:gridCol w:w="1640"/>
      </w:tblGrid>
      <w:tr w14:paraId="7BE571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9" w:type="pct"/>
          </w:tcPr>
          <w:p w14:paraId="26F5F8CF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序号</w:t>
            </w:r>
          </w:p>
        </w:tc>
        <w:tc>
          <w:tcPr>
            <w:tcW w:w="2626" w:type="pct"/>
          </w:tcPr>
          <w:p w14:paraId="1AE07A39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评价内容</w:t>
            </w:r>
          </w:p>
        </w:tc>
        <w:tc>
          <w:tcPr>
            <w:tcW w:w="948" w:type="pct"/>
          </w:tcPr>
          <w:p w14:paraId="06FB6AAE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评价分值</w:t>
            </w:r>
          </w:p>
        </w:tc>
        <w:tc>
          <w:tcPr>
            <w:tcW w:w="987" w:type="pct"/>
          </w:tcPr>
          <w:p w14:paraId="6532F609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自评得分</w:t>
            </w:r>
          </w:p>
        </w:tc>
      </w:tr>
      <w:tr w14:paraId="572B8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9" w:type="pct"/>
          </w:tcPr>
          <w:p w14:paraId="41E6E453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</w:t>
            </w:r>
          </w:p>
        </w:tc>
        <w:tc>
          <w:tcPr>
            <w:tcW w:w="2626" w:type="pct"/>
          </w:tcPr>
          <w:p w14:paraId="63CB4913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使用</w:t>
            </w:r>
            <w:r>
              <w:rPr>
                <w:rFonts w:ascii="Times New Roman" w:hAnsi="Times New Roman" w:eastAsia="宋体" w:cs="Times New Roman"/>
                <w:szCs w:val="21"/>
              </w:rPr>
              <w:t>符合国家现行标准要求的成品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水箱</w:t>
            </w:r>
          </w:p>
        </w:tc>
        <w:tc>
          <w:tcPr>
            <w:tcW w:w="948" w:type="pct"/>
          </w:tcPr>
          <w:p w14:paraId="3736CBDA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4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827195214"/>
            <w:placeholder>
              <w:docPart w:val="D3FEA8B35AFB4395953534856D2BAB8B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987" w:type="pct"/>
              </w:tcPr>
              <w:p w14:paraId="635D0344">
                <w:pPr>
                  <w:jc w:val="center"/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4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4A670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9" w:type="pct"/>
          </w:tcPr>
          <w:p w14:paraId="1F5F45DD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</w:t>
            </w:r>
          </w:p>
        </w:tc>
        <w:tc>
          <w:tcPr>
            <w:tcW w:w="2626" w:type="pct"/>
          </w:tcPr>
          <w:p w14:paraId="5C40E7D2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采取保证储水</w:t>
            </w:r>
            <w:r>
              <w:rPr>
                <w:rFonts w:ascii="Times New Roman" w:hAnsi="Times New Roman" w:eastAsia="宋体" w:cs="Times New Roman"/>
                <w:szCs w:val="21"/>
              </w:rPr>
              <w:t>不变质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的</w:t>
            </w:r>
            <w:r>
              <w:rPr>
                <w:rFonts w:ascii="Times New Roman" w:hAnsi="Times New Roman" w:eastAsia="宋体" w:cs="Times New Roman"/>
                <w:szCs w:val="21"/>
              </w:rPr>
              <w:t>措施</w:t>
            </w:r>
          </w:p>
        </w:tc>
        <w:tc>
          <w:tcPr>
            <w:tcW w:w="948" w:type="pct"/>
          </w:tcPr>
          <w:p w14:paraId="21798F84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5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772209691"/>
            <w:placeholder>
              <w:docPart w:val="D838DBFED2934D8894A5BF3FE0A9A47D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987" w:type="pct"/>
              </w:tcPr>
              <w:p w14:paraId="33F2EFC2">
                <w:pPr>
                  <w:jc w:val="center"/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5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</w:p>
            </w:tc>
          </w:sdtContent>
        </w:sdt>
      </w:tr>
      <w:tr w14:paraId="1689FA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9" w:type="pct"/>
          </w:tcPr>
          <w:p w14:paraId="75E91739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3</w:t>
            </w:r>
          </w:p>
        </w:tc>
        <w:tc>
          <w:tcPr>
            <w:tcW w:w="2626" w:type="pct"/>
          </w:tcPr>
          <w:p w14:paraId="6213D3F7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未设置生活饮用水储水设施直接得分</w:t>
            </w:r>
          </w:p>
        </w:tc>
        <w:tc>
          <w:tcPr>
            <w:tcW w:w="948" w:type="pct"/>
          </w:tcPr>
          <w:p w14:paraId="73F11AF6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9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763500225"/>
            <w:placeholder>
              <w:docPart w:val="B474C0A9A04A4254BBC1DF7957155F86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987" w:type="pct"/>
              </w:tcPr>
              <w:p w14:paraId="1A5B5B8B">
                <w:pPr>
                  <w:jc w:val="center"/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9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</w:p>
            </w:tc>
          </w:sdtContent>
        </w:sdt>
      </w:tr>
      <w:tr w14:paraId="6B4FE9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65" w:type="pct"/>
            <w:gridSpan w:val="2"/>
            <w:vAlign w:val="center"/>
          </w:tcPr>
          <w:p w14:paraId="33AFC0FD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合计</w:t>
            </w:r>
          </w:p>
        </w:tc>
        <w:tc>
          <w:tcPr>
            <w:tcW w:w="948" w:type="pct"/>
          </w:tcPr>
          <w:p w14:paraId="36D4B0F5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9</w:t>
            </w:r>
          </w:p>
        </w:tc>
        <w:sdt>
          <w:sdtPr>
            <w:rPr>
              <w:rFonts w:ascii="Times New Roman" w:hAnsi="Times New Roman" w:eastAsia="宋体" w:cs="Times New Roman"/>
              <w:kern w:val="0"/>
              <w:szCs w:val="21"/>
            </w:rPr>
            <w:id w:val="-363138069"/>
            <w:placeholder>
              <w:docPart w:val="5C48191E1C9F40739CE5A151B2AA2EB4"/>
            </w:placeholder>
            <w:text/>
          </w:sdtPr>
          <w:sdtEndPr>
            <w:rPr>
              <w:rFonts w:ascii="Times New Roman" w:hAnsi="Times New Roman" w:eastAsia="宋体" w:cs="Times New Roman"/>
              <w:kern w:val="0"/>
              <w:szCs w:val="21"/>
            </w:rPr>
          </w:sdtEndPr>
          <w:sdtContent>
            <w:tc>
              <w:tcPr>
                <w:tcW w:w="987" w:type="pct"/>
                <w:vAlign w:val="center"/>
              </w:tcPr>
              <w:p w14:paraId="4AB747BC">
                <w:pPr>
                  <w:jc w:val="center"/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kern w:val="0"/>
                    <w:szCs w:val="21"/>
                  </w:rPr>
                  <w:t xml:space="preserve">  </w:t>
                </w:r>
                <w:r>
                  <w:rPr>
                    <w:rFonts w:hint="eastAsia" w:ascii="Times New Roman" w:hAnsi="Times New Roman" w:eastAsia="宋体" w:cs="Times New Roman"/>
                    <w:kern w:val="0"/>
                    <w:szCs w:val="21"/>
                    <w:lang w:val="en-US" w:eastAsia="zh-CN"/>
                  </w:rPr>
                  <w:t>9</w:t>
                </w:r>
              </w:p>
            </w:tc>
          </w:sdtContent>
        </w:sdt>
      </w:tr>
    </w:tbl>
    <w:p w14:paraId="386F3D01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tbl>
      <w:tblPr>
        <w:tblStyle w:val="6"/>
        <w:tblW w:w="46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0"/>
        <w:gridCol w:w="4124"/>
      </w:tblGrid>
      <w:tr w14:paraId="4DF711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pct"/>
          </w:tcPr>
          <w:p w14:paraId="050F6C8F">
            <w:pPr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类型</w:t>
            </w:r>
          </w:p>
        </w:tc>
        <w:tc>
          <w:tcPr>
            <w:tcW w:w="2576" w:type="pct"/>
          </w:tcPr>
          <w:p w14:paraId="4A80A460">
            <w:pPr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项目情况</w:t>
            </w:r>
          </w:p>
        </w:tc>
      </w:tr>
      <w:tr w14:paraId="537EB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pct"/>
          </w:tcPr>
          <w:p w14:paraId="267B3462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是否</w:t>
            </w:r>
            <w:r>
              <w:rPr>
                <w:rFonts w:ascii="Times New Roman" w:hAnsi="Times New Roman" w:eastAsia="宋体" w:cs="Times New Roman"/>
                <w:szCs w:val="21"/>
              </w:rPr>
              <w:t>使用成品水箱</w:t>
            </w:r>
          </w:p>
        </w:tc>
        <w:tc>
          <w:tcPr>
            <w:tcW w:w="2576" w:type="pct"/>
          </w:tcPr>
          <w:p w14:paraId="086FE8DC">
            <w:pP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是</w:t>
            </w:r>
          </w:p>
        </w:tc>
      </w:tr>
      <w:tr w14:paraId="0AF189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pct"/>
          </w:tcPr>
          <w:p w14:paraId="3A2ECC44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成品水箱</w:t>
            </w:r>
            <w:r>
              <w:rPr>
                <w:rFonts w:ascii="Times New Roman" w:hAnsi="Times New Roman" w:eastAsia="宋体" w:cs="Times New Roman"/>
                <w:szCs w:val="21"/>
              </w:rPr>
              <w:t>的技术参数</w:t>
            </w:r>
          </w:p>
        </w:tc>
        <w:tc>
          <w:tcPr>
            <w:tcW w:w="2576" w:type="pct"/>
          </w:tcPr>
          <w:p w14:paraId="2728D112">
            <w:pPr>
              <w:rPr>
                <w:rFonts w:hint="eastAsia" w:ascii="Times New Roman" w:hAnsi="Times New Roman" w:eastAsia="宋体" w:cs="Times New Roman"/>
                <w:szCs w:val="21"/>
              </w:rPr>
            </w:pPr>
            <w:bookmarkStart w:id="0" w:name="_GoBack"/>
            <w:bookmarkEnd w:id="0"/>
            <w:r>
              <w:rPr>
                <w:rFonts w:hint="eastAsia" w:ascii="Times New Roman" w:hAnsi="Times New Roman" w:eastAsia="宋体" w:cs="Times New Roman"/>
                <w:szCs w:val="21"/>
              </w:rPr>
              <w:t>材质：食品级不锈钢（SUS304）</w:t>
            </w:r>
          </w:p>
          <w:p w14:paraId="38F7D608">
            <w:pPr>
              <w:rPr>
                <w:rFonts w:hint="eastAsia"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容积：XX m³</w:t>
            </w:r>
          </w:p>
          <w:p w14:paraId="3CF4BF64">
            <w:pPr>
              <w:rPr>
                <w:rFonts w:hint="eastAsia"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壁厚：底板Xmm，侧板Xmm，顶板Xmm</w:t>
            </w:r>
          </w:p>
          <w:p w14:paraId="03C8AD98">
            <w:pPr>
              <w:rPr>
                <w:rFonts w:hint="eastAsia"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进出水管径：DNXX</w:t>
            </w:r>
          </w:p>
          <w:p w14:paraId="01567F7E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保温：聚氨酯保温层，厚度≥50mm</w:t>
            </w:r>
          </w:p>
        </w:tc>
      </w:tr>
      <w:tr w14:paraId="086D6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pct"/>
          </w:tcPr>
          <w:p w14:paraId="2D98E511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成品水箱</w:t>
            </w:r>
            <w:r>
              <w:rPr>
                <w:rFonts w:ascii="Times New Roman" w:hAnsi="Times New Roman" w:eastAsia="宋体" w:cs="Times New Roman"/>
                <w:szCs w:val="21"/>
              </w:rPr>
              <w:t>是否符合标准</w:t>
            </w:r>
          </w:p>
        </w:tc>
        <w:tc>
          <w:tcPr>
            <w:tcW w:w="2576" w:type="pct"/>
          </w:tcPr>
          <w:p w14:paraId="10AE9BC0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符合《二次供水设施卫生规范》GB 17051、《生活饮用水输配水设备及防护材料的安全性评价标准》GB/T 17219要求）</w:t>
            </w:r>
          </w:p>
        </w:tc>
      </w:tr>
    </w:tbl>
    <w:p w14:paraId="7832022F">
      <w:pPr>
        <w:rPr>
          <w:rFonts w:ascii="Times New Roman" w:hAnsi="Times New Roman" w:eastAsia="宋体" w:cs="Times New Roman"/>
          <w:szCs w:val="21"/>
        </w:rPr>
      </w:pPr>
    </w:p>
    <w:p w14:paraId="58A19B1C"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请对保证储水不变质的措施进行</w:t>
      </w:r>
      <w:r>
        <w:rPr>
          <w:rFonts w:ascii="Times New Roman" w:hAnsi="Times New Roman" w:eastAsia="宋体" w:cs="Times New Roman"/>
          <w:szCs w:val="21"/>
        </w:rPr>
        <w:t>简要说明</w:t>
      </w:r>
      <w:r>
        <w:rPr>
          <w:rFonts w:hint="eastAsia" w:ascii="Times New Roman" w:hAnsi="Times New Roman" w:eastAsia="宋体" w:cs="Times New Roman"/>
          <w:szCs w:val="21"/>
        </w:rPr>
        <w:t>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7B996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 w14:paraId="7BAFFCA1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一、水箱选型与材质</w:t>
            </w:r>
          </w:p>
          <w:p w14:paraId="7E342544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2B22BBD7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选用成品不锈钢水箱，材质为食品级SUS304，内壁光滑，无死角，不易滋生微生物；</w:t>
            </w:r>
          </w:p>
          <w:p w14:paraId="15168A8A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62BFE66A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水箱设有密闭人孔、溢流管、泄水管、通气管等，通气管口设置防虫网，防止外界污染物进入；</w:t>
            </w:r>
          </w:p>
          <w:p w14:paraId="68591F6B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5DCEC233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水箱与管道连接采用食品级密封材料，确保系统密闭性。</w:t>
            </w:r>
          </w:p>
          <w:p w14:paraId="35597D8E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288A9B31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二、防滞留与循环措施</w:t>
            </w:r>
          </w:p>
          <w:p w14:paraId="343ADFDB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7F57EB27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水箱设计采用上进水下出水方式，避免死水区，保证水体流动；</w:t>
            </w:r>
          </w:p>
          <w:p w14:paraId="61C5722C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4004BA8B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设置循环回水系统，定时循环，防止长时间滞留导致水质恶化；</w:t>
            </w:r>
          </w:p>
          <w:p w14:paraId="3D8E707F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4C246561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水箱容积按日用水量合理配置，避免储水时间过长。</w:t>
            </w:r>
          </w:p>
          <w:p w14:paraId="0B193986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4BE6694E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三、定期清洗消毒</w:t>
            </w:r>
          </w:p>
          <w:p w14:paraId="2651840B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1AB02AA8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每半年清洗消毒 2 次，采用二氧化氯或次氯酸钠溶液进行浸泡消毒；</w:t>
            </w:r>
          </w:p>
          <w:p w14:paraId="0ECA8C7D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4FE67AF4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清洗消毒后彻底冲洗，并委托具备资质的检测机构进行水质检测，确保水质符合《生活饮用水卫生标准》GB 5749要求；</w:t>
            </w:r>
          </w:p>
          <w:p w14:paraId="46BE2B20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6E62EF60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建立清洗消毒台账，记录清洗时间、消毒方式、操作人员、检测报告等信息。</w:t>
            </w:r>
          </w:p>
          <w:p w14:paraId="2962B3FB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4CA58B43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四、水质监测与管理</w:t>
            </w:r>
          </w:p>
          <w:p w14:paraId="13EDF9DC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1A45DBC8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每年至少进行 2 次水质检测，检测指标包括余氯、浊度、菌落总数、总大肠菌群等；</w:t>
            </w:r>
          </w:p>
          <w:p w14:paraId="0D12CE3A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381E039C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水箱周围设置排水沟，保持环境干燥清洁，防止二次污染；</w:t>
            </w:r>
          </w:p>
          <w:p w14:paraId="4355059E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1A034C88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制定《生活饮用水储水设施管理制度》，明确巡查、清洗、检测等管理要求，确保储水安全。</w:t>
            </w:r>
          </w:p>
          <w:p w14:paraId="44E49677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16559FE3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五、结论</w:t>
            </w:r>
          </w:p>
          <w:p w14:paraId="738F7960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4E63B87F">
            <w:pP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本项目通过选用优质成品水箱、合理设计防滞留构造、定期清洗消毒及水质监测等措施，有效保障储水不变质，确保生活饮用水安全卫生。</w:t>
            </w:r>
          </w:p>
        </w:tc>
      </w:tr>
    </w:tbl>
    <w:p w14:paraId="495B3184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 w14:paraId="434E0A3F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 w14:paraId="6D0CA241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）给排水</w:t>
      </w:r>
      <w:r>
        <w:rPr>
          <w:rFonts w:ascii="Times New Roman" w:hAnsi="Times New Roman" w:eastAsia="宋体" w:cs="Times New Roman"/>
          <w:szCs w:val="21"/>
        </w:rPr>
        <w:t>竣工图纸，</w:t>
      </w:r>
      <w:r>
        <w:rPr>
          <w:rFonts w:hint="eastAsia" w:ascii="Times New Roman" w:hAnsi="Times New Roman" w:eastAsia="宋体" w:cs="Times New Roman"/>
          <w:szCs w:val="21"/>
        </w:rPr>
        <w:t>含</w:t>
      </w:r>
      <w:r>
        <w:rPr>
          <w:rFonts w:ascii="Times New Roman" w:hAnsi="Times New Roman" w:eastAsia="宋体" w:cs="Times New Roman"/>
          <w:szCs w:val="21"/>
        </w:rPr>
        <w:t>设计说明、储水设施详图、设备材料表</w:t>
      </w:r>
      <w:r>
        <w:rPr>
          <w:rFonts w:hint="eastAsia" w:ascii="Times New Roman" w:hAnsi="Times New Roman" w:eastAsia="宋体" w:cs="Times New Roman"/>
          <w:szCs w:val="21"/>
        </w:rPr>
        <w:t>；</w:t>
      </w:r>
    </w:p>
    <w:p w14:paraId="15DD1066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</w:t>
      </w:r>
      <w:r>
        <w:rPr>
          <w:rFonts w:hint="eastAsia" w:ascii="Times New Roman" w:hAnsi="Times New Roman" w:eastAsia="宋体" w:cs="Times New Roman"/>
          <w:szCs w:val="21"/>
        </w:rPr>
        <w:t>）生活饮用水储水设施设备材料采购清单、成品水箱产品说明书；</w:t>
      </w:r>
    </w:p>
    <w:p w14:paraId="4380FCDB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3</w:t>
      </w:r>
      <w:r>
        <w:rPr>
          <w:rFonts w:hint="eastAsia" w:ascii="Times New Roman" w:hAnsi="Times New Roman" w:eastAsia="宋体" w:cs="Times New Roman"/>
          <w:szCs w:val="21"/>
        </w:rPr>
        <w:t>）生活饮用水储水设施清洗消毒后的水质检测报告及清洗消毒记录。</w:t>
      </w:r>
    </w:p>
    <w:p w14:paraId="2A7C859D">
      <w:pPr>
        <w:rPr>
          <w:rFonts w:ascii="Times New Roman" w:hAnsi="Times New Roman" w:eastAsia="宋体" w:cs="Times New Roman"/>
          <w:szCs w:val="21"/>
        </w:rPr>
      </w:pPr>
    </w:p>
    <w:p w14:paraId="0042A706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649E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34" w:hRule="atLeast"/>
          <w:jc w:val="center"/>
        </w:trPr>
        <w:tc>
          <w:tcPr>
            <w:tcW w:w="9356" w:type="dxa"/>
          </w:tcPr>
          <w:p w14:paraId="6BBF0080">
            <w:pP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5271135" cy="3208655"/>
                  <wp:effectExtent l="0" t="0" r="12065" b="444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320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85ACF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581"/>
    <w:rsid w:val="00074A38"/>
    <w:rsid w:val="00082DDE"/>
    <w:rsid w:val="004022F6"/>
    <w:rsid w:val="00495581"/>
    <w:rsid w:val="00712EE2"/>
    <w:rsid w:val="00734E62"/>
    <w:rsid w:val="6E34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uiPriority w:val="99"/>
    <w:rPr>
      <w:sz w:val="18"/>
      <w:szCs w:val="18"/>
    </w:rPr>
  </w:style>
  <w:style w:type="character" w:customStyle="1" w:styleId="11">
    <w:name w:val="标题 4 Char"/>
    <w:basedOn w:val="8"/>
    <w:link w:val="3"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uiPriority w:val="99"/>
    <w:rPr>
      <w:color w:val="808080"/>
    </w:rPr>
  </w:style>
  <w:style w:type="table" w:customStyle="1" w:styleId="13">
    <w:name w:val="网格型1"/>
    <w:basedOn w:val="6"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样式1"/>
    <w:basedOn w:val="8"/>
    <w:uiPriority w:val="1"/>
    <w:rPr>
      <w:rFonts w:eastAsiaTheme="minorEastAsia"/>
      <w:sz w:val="21"/>
    </w:rPr>
  </w:style>
  <w:style w:type="character" w:customStyle="1" w:styleId="15">
    <w:name w:val="标题 3 Char"/>
    <w:basedOn w:val="8"/>
    <w:link w:val="2"/>
    <w:semiHidden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D3FEA8B35AFB4395953534856D2BAB8B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0F00E16-C77E-460D-A940-A38E809FF72F}"/>
      </w:docPartPr>
      <w:docPartBody>
        <w:p w14:paraId="438D0E90">
          <w:pPr>
            <w:pStyle w:val="5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D838DBFED2934D8894A5BF3FE0A9A47D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3C11390-C81B-4C10-8D8C-466F119B3F69}"/>
      </w:docPartPr>
      <w:docPartBody>
        <w:p w14:paraId="4BF396D5">
          <w:pPr>
            <w:pStyle w:val="6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B474C0A9A04A4254BBC1DF7957155F86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D1F76D8-9634-4A06-8698-1C38A53FD5D2}"/>
      </w:docPartPr>
      <w:docPartBody>
        <w:p w14:paraId="4989E281">
          <w:pPr>
            <w:pStyle w:val="7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5C48191E1C9F40739CE5A151B2AA2EB4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56D44DE-ECFC-485F-944F-F7461391A376}"/>
      </w:docPartPr>
      <w:docPartBody>
        <w:p w14:paraId="217F4EC6">
          <w:pPr>
            <w:pStyle w:val="8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1F2"/>
    <w:rsid w:val="00040C78"/>
    <w:rsid w:val="00480303"/>
    <w:rsid w:val="007D21F2"/>
    <w:rsid w:val="00CA6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  <w:lsdException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uiPriority w:val="99"/>
    <w:rPr>
      <w:color w:val="808080"/>
    </w:rPr>
  </w:style>
  <w:style w:type="paragraph" w:customStyle="1" w:styleId="5">
    <w:name w:val="D3FEA8B35AFB4395953534856D2BAB8B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D838DBFED2934D8894A5BF3FE0A9A47D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B474C0A9A04A4254BBC1DF7957155F86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5C48191E1C9F40739CE5A151B2AA2EB4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17FF1D8E9DDE4BFABB5AAAD7D9F2D22C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9573A3846FBC4F43BA4DF03903A6CE63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7FD387E27FBF4E9AB0A47D65E3D627C2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B793494509B04672AB70FF41BD0AF927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33171001B9B54DDA85C3CC8B78AE0D9A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271</Words>
  <Characters>275</Characters>
  <Lines>2</Lines>
  <Paragraphs>1</Paragraphs>
  <TotalTime>4</TotalTime>
  <ScaleCrop>false</ScaleCrop>
  <LinksUpToDate>false</LinksUpToDate>
  <CharactersWithSpaces>287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2019-07-12T07:52:00Z</dcterms:created>
  <dc:creator>dongYP</dc:creator>
  <cp:lastModifiedBy>妖精的口袋</cp:lastModifiedBy>
  <dcterms:modified xsi:type="dcterms:W3CDTF">2026-03-27T11:27:55Z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eyJoZGlkIjoiMTdmMGYzN2JlNDk2MTMwN2QyNWUxODIxNmM3YWJlYjAiLCJ1c2VySWQiOiI2MzUxMDcwMDYifQ==</vt:lpwstr>
  </property>
  <property fmtid="{D5CDD505-2E9C-101B-9397-08002B2CF9AE}" pid="3" name="KSOProductBuildVer">
    <vt:lpwstr>2052-12.1.0.25225</vt:lpwstr>
  </property>
  <property fmtid="{D5CDD505-2E9C-101B-9397-08002B2CF9AE}" pid="4" name="ICV">
    <vt:lpwstr>C9F30ED5DF8F4CD082C6A51A8A560F63_12</vt:lpwstr>
  </property>
</Properties>
</file>