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205FD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6.2.2 建筑室内外公共区域满足全龄化设计要求。（8分）</w:t>
      </w:r>
    </w:p>
    <w:p w14:paraId="5E9C8071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91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991"/>
        <w:gridCol w:w="1701"/>
        <w:gridCol w:w="1559"/>
      </w:tblGrid>
      <w:tr w14:paraId="27CDD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851" w:type="dxa"/>
            <w:vAlign w:val="center"/>
          </w:tcPr>
          <w:p w14:paraId="34F85E78">
            <w:pPr>
              <w:jc w:val="center"/>
              <w:rPr>
                <w:rFonts w:ascii="Times New Roman" w:hAnsi="Times New Roman" w:eastAsia="宋体" w:cs="Times New Roman"/>
                <w:lang w:val="zh-CN"/>
              </w:rPr>
            </w:pPr>
            <w:r>
              <w:rPr>
                <w:rFonts w:ascii="Times New Roman" w:hAnsi="Times New Roman" w:eastAsia="宋体" w:cs="Times New Roman"/>
                <w:lang w:val="zh-CN"/>
              </w:rPr>
              <w:t>序号</w:t>
            </w:r>
          </w:p>
        </w:tc>
        <w:tc>
          <w:tcPr>
            <w:tcW w:w="4991" w:type="dxa"/>
            <w:vAlign w:val="center"/>
          </w:tcPr>
          <w:p w14:paraId="374CFF41">
            <w:pPr>
              <w:jc w:val="center"/>
              <w:rPr>
                <w:rFonts w:ascii="Times New Roman" w:hAnsi="Times New Roman" w:eastAsia="宋体" w:cs="Times New Roman"/>
                <w:lang w:val="zh-CN"/>
              </w:rPr>
            </w:pPr>
            <w:r>
              <w:rPr>
                <w:rFonts w:ascii="Times New Roman" w:hAnsi="Times New Roman" w:eastAsia="宋体" w:cs="Times New Roman"/>
                <w:lang w:val="zh-CN"/>
              </w:rPr>
              <w:t>评价内容</w:t>
            </w:r>
          </w:p>
        </w:tc>
        <w:tc>
          <w:tcPr>
            <w:tcW w:w="1701" w:type="dxa"/>
            <w:vAlign w:val="center"/>
          </w:tcPr>
          <w:p w14:paraId="1FE93C67">
            <w:pPr>
              <w:jc w:val="center"/>
              <w:rPr>
                <w:rFonts w:ascii="Times New Roman" w:hAnsi="Times New Roman" w:eastAsia="宋体" w:cs="Times New Roman"/>
                <w:lang w:val="zh-CN"/>
              </w:rPr>
            </w:pPr>
            <w:r>
              <w:rPr>
                <w:rFonts w:ascii="Times New Roman" w:hAnsi="Times New Roman" w:eastAsia="宋体" w:cs="Times New Roman"/>
                <w:lang w:val="zh-CN"/>
              </w:rPr>
              <w:t>评价分值</w:t>
            </w:r>
          </w:p>
        </w:tc>
        <w:tc>
          <w:tcPr>
            <w:tcW w:w="1559" w:type="dxa"/>
            <w:vAlign w:val="center"/>
          </w:tcPr>
          <w:p w14:paraId="51BF0273">
            <w:pPr>
              <w:jc w:val="center"/>
              <w:rPr>
                <w:rFonts w:ascii="Times New Roman" w:hAnsi="Times New Roman" w:eastAsia="宋体" w:cs="Times New Roman"/>
                <w:lang w:val="zh-CN"/>
              </w:rPr>
            </w:pPr>
            <w:r>
              <w:rPr>
                <w:rFonts w:ascii="Times New Roman" w:hAnsi="Times New Roman" w:eastAsia="宋体" w:cs="Times New Roman"/>
                <w:lang w:val="zh-CN"/>
              </w:rPr>
              <w:t>自评得分</w:t>
            </w:r>
          </w:p>
        </w:tc>
      </w:tr>
      <w:tr w14:paraId="13FF3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51" w:type="dxa"/>
            <w:vAlign w:val="center"/>
          </w:tcPr>
          <w:p w14:paraId="20CDBE20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1</w:t>
            </w:r>
          </w:p>
        </w:tc>
        <w:tc>
          <w:tcPr>
            <w:tcW w:w="4991" w:type="dxa"/>
            <w:vAlign w:val="center"/>
          </w:tcPr>
          <w:p w14:paraId="100383AE">
            <w:pPr>
              <w:jc w:val="left"/>
              <w:rPr>
                <w:rFonts w:ascii="Times New Roman" w:hAnsi="Times New Roman" w:eastAsia="宋体" w:cs="Times New Roman"/>
                <w:kern w:val="0"/>
              </w:rPr>
            </w:pPr>
            <w:r>
              <w:rPr>
                <w:rFonts w:ascii="Times New Roman" w:hAnsi="Times New Roman" w:eastAsia="宋体" w:cs="Times New Roman"/>
              </w:rPr>
              <w:t>建筑室内公共区域的墙、柱等处的阳角均为圆角，并设有安全抓杆或扶手</w:t>
            </w:r>
          </w:p>
        </w:tc>
        <w:tc>
          <w:tcPr>
            <w:tcW w:w="1701" w:type="dxa"/>
            <w:vAlign w:val="center"/>
          </w:tcPr>
          <w:p w14:paraId="71DF6A92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953898398"/>
            <w:placeholder>
              <w:docPart w:val="5E084B9E2E2D4FD6A9EB431BB4C39DF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2308645E">
                <w:pPr>
                  <w:jc w:val="center"/>
                  <w:rPr>
                    <w:rFonts w:ascii="Times New Roman" w:hAnsi="Times New Roman" w:eastAsia="宋体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680E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51" w:type="dxa"/>
            <w:vAlign w:val="center"/>
          </w:tcPr>
          <w:p w14:paraId="401732A8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2</w:t>
            </w:r>
          </w:p>
        </w:tc>
        <w:tc>
          <w:tcPr>
            <w:tcW w:w="4991" w:type="dxa"/>
            <w:vAlign w:val="center"/>
          </w:tcPr>
          <w:p w14:paraId="54FF22A2">
            <w:pPr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设有可容纳担架的无障碍电梯</w:t>
            </w:r>
          </w:p>
        </w:tc>
        <w:tc>
          <w:tcPr>
            <w:tcW w:w="1701" w:type="dxa"/>
            <w:vAlign w:val="center"/>
          </w:tcPr>
          <w:p w14:paraId="5AE08541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371059202"/>
            <w:placeholder>
              <w:docPart w:val="3903B60EBD404E8CBA0CF398306A4A5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7264F7BC">
                <w:pPr>
                  <w:jc w:val="center"/>
                  <w:rPr>
                    <w:rFonts w:ascii="Times New Roman" w:hAnsi="Times New Roman" w:eastAsia="宋体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0A6A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42" w:type="dxa"/>
            <w:gridSpan w:val="2"/>
            <w:vAlign w:val="center"/>
          </w:tcPr>
          <w:p w14:paraId="395515CC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合计</w:t>
            </w:r>
          </w:p>
        </w:tc>
        <w:tc>
          <w:tcPr>
            <w:tcW w:w="1701" w:type="dxa"/>
            <w:vAlign w:val="center"/>
          </w:tcPr>
          <w:p w14:paraId="10320EFA"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8</w:t>
            </w:r>
          </w:p>
        </w:tc>
        <w:sdt>
          <w:sdtPr>
            <w:rPr>
              <w:rFonts w:ascii="Times New Roman" w:hAnsi="Times New Roman" w:eastAsia="宋体" w:cs="Times New Roman"/>
              <w:kern w:val="0"/>
              <w:szCs w:val="21"/>
            </w:rPr>
            <w:id w:val="-1387103766"/>
            <w:placeholder>
              <w:docPart w:val="72696A950FB947B48F5686F26551F2D5"/>
            </w:placeholder>
            <w:text/>
          </w:sdtPr>
          <w:sdtEndPr>
            <w:rPr>
              <w:rFonts w:ascii="Times New Roman" w:hAnsi="Times New Roman" w:eastAsia="宋体" w:cs="Times New Roman"/>
              <w:kern w:val="0"/>
              <w:szCs w:val="21"/>
            </w:rPr>
          </w:sdtEndPr>
          <w:sdtContent>
            <w:tc>
              <w:tcPr>
                <w:tcW w:w="1559" w:type="dxa"/>
                <w:vAlign w:val="center"/>
              </w:tcPr>
              <w:p w14:paraId="6B753474">
                <w:pPr>
                  <w:jc w:val="center"/>
                  <w:rPr>
                    <w:rFonts w:ascii="Times New Roman" w:hAnsi="Times New Roman" w:eastAsia="宋体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</w:t>
                </w:r>
              </w:p>
            </w:tc>
          </w:sdtContent>
        </w:sdt>
      </w:tr>
    </w:tbl>
    <w:p w14:paraId="2A9AC9D3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40277472">
      <w:pPr>
        <w:spacing w:line="300" w:lineRule="exact"/>
      </w:pPr>
      <w:r>
        <w:rPr>
          <w:rFonts w:hint="eastAsia" w:ascii="Calibri" w:hAnsi="Calibri" w:eastAsia="宋体" w:cs="Times New Roman"/>
        </w:rPr>
        <w:t>建筑室内公共区域的墙、柱等处的阳角是否均为圆角：</w:t>
      </w:r>
      <w:sdt>
        <w:sdtPr>
          <w:rPr>
            <w:rFonts w:hint="eastAsia"/>
          </w:rPr>
          <w:id w:val="171533974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</w:rPr>
              <w:id w:val="-214888833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  <w:sz w:val="28"/>
                  </w:rPr>
                  <w:id w:val="-1256894167"/>
                  <w14:checkbox>
                    <w14:checked w14:val="1"/>
                    <w14:checkedState w14:val="0052" w14:font="Wingdings 2"/>
                    <w14:uncheckedState w14:val="00A3" w14:font="Wingdings 2"/>
                  </w14:checkbox>
                </w:sdtPr>
                <w:sdtEndPr>
                  <w:rPr>
                    <w:rFonts w:hint="eastAsia"/>
                    <w:sz w:val="28"/>
                  </w:rPr>
                </w:sdtEndPr>
                <w:sdtContent>
                  <w:r>
                    <w:rPr>
                      <w:rFonts w:hint="eastAsia" w:ascii="Wingdings 2" w:hAnsi="Wingdings 2" w:eastAsiaTheme="minorEastAsia" w:cstheme="minorBidi"/>
                      <w:kern w:val="2"/>
                      <w:sz w:val="28"/>
                      <w:szCs w:val="22"/>
                      <w:lang w:val="en-US" w:eastAsia="zh-CN" w:bidi="ar-SA"/>
                    </w:rPr>
                    <w:t>R</w:t>
                  </w:r>
                </w:sdtContent>
              </w:sdt>
            </w:sdtContent>
          </w:sdt>
        </w:sdtContent>
      </w:sdt>
      <w:r>
        <w:rPr>
          <w:rFonts w:hint="eastAsia"/>
        </w:rPr>
        <w:t>是</w:t>
      </w:r>
      <w:sdt>
        <w:sdtPr>
          <w:rPr>
            <w:rFonts w:hint="eastAsia"/>
          </w:rPr>
          <w:id w:val="1663582939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1635554761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/>
        </w:rPr>
        <w:t>否，是否设有安全抓杆或扶手：</w:t>
      </w:r>
      <w:sdt>
        <w:sdtPr>
          <w:rPr>
            <w:rFonts w:hint="eastAsia"/>
          </w:rPr>
          <w:id w:val="738833092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</w:rPr>
              <w:id w:val="1613016681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  <w:sz w:val="28"/>
                  </w:rPr>
                  <w:id w:val="-1793276655"/>
                  <w14:checkbox>
                    <w14:checked w14:val="1"/>
                    <w14:checkedState w14:val="0052" w14:font="Wingdings 2"/>
                    <w14:uncheckedState w14:val="00A3" w14:font="Wingdings 2"/>
                  </w14:checkbox>
                </w:sdtPr>
                <w:sdtEndPr>
                  <w:rPr>
                    <w:rFonts w:hint="eastAsia"/>
                    <w:sz w:val="28"/>
                  </w:rPr>
                </w:sdtEndPr>
                <w:sdtContent>
                  <w:r>
                    <w:rPr>
                      <w:rFonts w:hint="eastAsia" w:ascii="Wingdings 2" w:hAnsi="Wingdings 2" w:eastAsiaTheme="minorEastAsia" w:cstheme="minorBidi"/>
                      <w:kern w:val="2"/>
                      <w:sz w:val="28"/>
                      <w:szCs w:val="22"/>
                      <w:lang w:val="en-US" w:eastAsia="zh-CN" w:bidi="ar-SA"/>
                    </w:rPr>
                    <w:t>R</w:t>
                  </w:r>
                </w:sdtContent>
              </w:sdt>
            </w:sdtContent>
          </w:sdt>
        </w:sdtContent>
      </w:sdt>
      <w:r>
        <w:rPr>
          <w:rFonts w:hint="eastAsia"/>
        </w:rPr>
        <w:t>是</w:t>
      </w:r>
      <w:sdt>
        <w:sdtPr>
          <w:rPr>
            <w:rFonts w:hint="eastAsia"/>
          </w:rPr>
          <w:id w:val="1128431054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84275046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/>
        </w:rPr>
        <w:t>否</w:t>
      </w:r>
    </w:p>
    <w:p w14:paraId="44AB0025">
      <w:pPr>
        <w:spacing w:line="300" w:lineRule="exact"/>
      </w:pPr>
      <w:r>
        <w:rPr>
          <w:rFonts w:hint="eastAsia"/>
        </w:rPr>
        <w:t>是否设有可容纳担架的无障碍电梯：</w:t>
      </w:r>
      <w:sdt>
        <w:sdtPr>
          <w:rPr>
            <w:rFonts w:hint="eastAsia"/>
          </w:rPr>
          <w:id w:val="1014419951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 w:val="28"/>
              </w:rPr>
              <w:id w:val="415523200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bookmarkStart w:id="0" w:name="_GoBack"/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  <w:bookmarkEnd w:id="0"/>
            </w:sdtContent>
          </w:sdt>
        </w:sdtContent>
      </w:sdt>
      <w:r>
        <w:rPr>
          <w:rFonts w:hint="eastAsia"/>
        </w:rPr>
        <w:t>是</w:t>
      </w:r>
      <w:sdt>
        <w:sdtPr>
          <w:rPr>
            <w:rFonts w:hint="eastAsia"/>
          </w:rPr>
          <w:id w:val="450907784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24842771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/>
        </w:rPr>
        <w:t>否</w:t>
      </w:r>
    </w:p>
    <w:p w14:paraId="6F317743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请简要说明建筑室内外公共区域的全龄化设计情况。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B2D6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  <w:jc w:val="center"/>
        </w:trPr>
        <w:tc>
          <w:tcPr>
            <w:tcW w:w="9356" w:type="dxa"/>
          </w:tcPr>
          <w:p w14:paraId="55549432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项目建筑基地内，人行道在各种路口、各种出入口位置设置缘石坡道，人行道坡道的上下坡设置提示盲道。各塔楼主入口兼作无障碍出入口，出入口设无障碍坡道，坡度不大于1:20。各塔楼核心筒内设有一部无障碍电梯，并在每部无障碍电梯门口铺设提示盲道，电梯外加装盲文操作按钮。各楼设置无障碍卫生间，其卫生器具设施按国家规范配置。</w:t>
            </w:r>
          </w:p>
          <w:p w14:paraId="761E8050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本项目为办公类项目，每层设有4部电梯，其中一部电梯为可容纳担架的无障碍电梯，电梯尺寸为1950x550x850。</w:t>
            </w:r>
          </w:p>
        </w:tc>
      </w:tr>
    </w:tbl>
    <w:p w14:paraId="67BEB2F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9E4B25B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759B13DD">
      <w:pPr>
        <w:spacing w:line="3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1）</w:t>
      </w:r>
      <w:r>
        <w:rPr>
          <w:rFonts w:ascii="Times New Roman" w:hAnsi="Times New Roman" w:cs="Times New Roman"/>
        </w:rPr>
        <w:t>建筑专业设计说明、平面图</w:t>
      </w:r>
      <w:r>
        <w:rPr>
          <w:rFonts w:hint="eastAsia" w:ascii="Times New Roman" w:hAnsi="Times New Roman" w:cs="Times New Roman"/>
        </w:rPr>
        <w:t>；</w:t>
      </w:r>
    </w:p>
    <w:p w14:paraId="5955F813">
      <w:pPr>
        <w:spacing w:line="3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2）</w:t>
      </w:r>
      <w:r>
        <w:rPr>
          <w:rFonts w:ascii="Times New Roman" w:hAnsi="Times New Roman" w:cs="Times New Roman"/>
        </w:rPr>
        <w:t>室内设计专业设计说明、室内公共区域 重点部位和区域装修平面图及节点详图</w:t>
      </w:r>
      <w:r>
        <w:rPr>
          <w:rFonts w:hint="eastAsia" w:ascii="Times New Roman" w:hAnsi="Times New Roman" w:cs="Times New Roman"/>
        </w:rPr>
        <w:t>；</w:t>
      </w:r>
    </w:p>
    <w:p w14:paraId="2F6D7DB3">
      <w:pPr>
        <w:spacing w:line="3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3）</w:t>
      </w:r>
      <w:r>
        <w:rPr>
          <w:rFonts w:ascii="Times New Roman" w:hAnsi="Times New Roman" w:cs="Times New Roman"/>
        </w:rPr>
        <w:t>电梯详图</w:t>
      </w:r>
      <w:r>
        <w:rPr>
          <w:rFonts w:hint="eastAsia" w:ascii="Times New Roman" w:hAnsi="Times New Roman" w:cs="Times New Roman"/>
        </w:rPr>
        <w:t>。</w:t>
      </w:r>
    </w:p>
    <w:p w14:paraId="60982EDF">
      <w:pPr>
        <w:spacing w:line="300" w:lineRule="exact"/>
        <w:rPr>
          <w:rFonts w:ascii="Times New Roman" w:hAnsi="Times New Roman" w:cs="Times New Roman"/>
        </w:rPr>
      </w:pPr>
    </w:p>
    <w:p w14:paraId="167C0D7A">
      <w:pPr>
        <w:spacing w:line="30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13A4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9356" w:type="dxa"/>
          </w:tcPr>
          <w:p w14:paraId="301DC5CE">
            <w:r>
              <w:drawing>
                <wp:inline distT="0" distB="0" distL="114300" distR="114300">
                  <wp:extent cx="5271135" cy="4531995"/>
                  <wp:effectExtent l="0" t="0" r="571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453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E8C1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室外步行系统</w:t>
            </w:r>
          </w:p>
          <w:p w14:paraId="21E18688"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271135" cy="2912745"/>
                  <wp:effectExtent l="0" t="0" r="571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02C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缓坡步行系统</w:t>
            </w:r>
          </w:p>
          <w:p w14:paraId="343103BC">
            <w:pPr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3446023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13"/>
    <w:rsid w:val="0006183E"/>
    <w:rsid w:val="00074A38"/>
    <w:rsid w:val="000F2E01"/>
    <w:rsid w:val="0010740D"/>
    <w:rsid w:val="001F43E0"/>
    <w:rsid w:val="00226D81"/>
    <w:rsid w:val="002C7713"/>
    <w:rsid w:val="002D40E6"/>
    <w:rsid w:val="004206F5"/>
    <w:rsid w:val="00435E97"/>
    <w:rsid w:val="004C1038"/>
    <w:rsid w:val="005B2957"/>
    <w:rsid w:val="008D5DDB"/>
    <w:rsid w:val="00A52F44"/>
    <w:rsid w:val="00B76DD8"/>
    <w:rsid w:val="00B97630"/>
    <w:rsid w:val="00D44495"/>
    <w:rsid w:val="00E760A4"/>
    <w:rsid w:val="216655B5"/>
    <w:rsid w:val="4B0E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字符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字符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glossaryDocument" Target="glossary/document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5E084B9E2E2D4FD6A9EB431BB4C39DF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BC5101-8BFC-4CA5-B6C4-9CD0FC2551B9}"/>
      </w:docPartPr>
      <w:docPartBody>
        <w:p w14:paraId="39485D30">
          <w:pPr>
            <w:pStyle w:val="5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903B60EBD404E8CBA0CF398306A4A5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2A3A6E2-3241-482D-99A3-BEDC0912E998}"/>
      </w:docPartPr>
      <w:docPartBody>
        <w:p w14:paraId="6EE2B5AA">
          <w:pPr>
            <w:pStyle w:val="6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2696A950FB947B48F5686F26551F2D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552AD0-974F-4FB3-ABB6-61FC7A46E826}"/>
      </w:docPartPr>
      <w:docPartBody>
        <w:p w14:paraId="56B709AA">
          <w:pPr>
            <w:pStyle w:val="7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DE"/>
    <w:rsid w:val="0033725D"/>
    <w:rsid w:val="005B35D3"/>
    <w:rsid w:val="006D5DB2"/>
    <w:rsid w:val="007F332D"/>
    <w:rsid w:val="00861F33"/>
    <w:rsid w:val="00BB5F5B"/>
    <w:rsid w:val="00D44495"/>
    <w:rsid w:val="00F0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5E084B9E2E2D4FD6A9EB431BB4C39DF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3903B60EBD404E8CBA0CF398306A4A5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72696A950FB947B48F5686F26551F2D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464</Words>
  <Characters>482</Characters>
  <Lines>12</Lines>
  <Paragraphs>18</Paragraphs>
  <TotalTime>8</TotalTime>
  <ScaleCrop>false</ScaleCrop>
  <LinksUpToDate>false</LinksUpToDate>
  <CharactersWithSpaces>496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2019-07-12T07:58:00Z</dcterms:created>
  <dc:creator>dongYP</dc:creator>
  <cp:lastModifiedBy>李宁</cp:lastModifiedBy>
  <dcterms:modified xsi:type="dcterms:W3CDTF">2026-03-24T15:58:24Z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C4D759325640495981F56617F36DE5B2_12</vt:lpwstr>
  </property>
</Properties>
</file>