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EA0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990"/>
      <w:bookmarkStart w:id="1" w:name="_Toc9944710"/>
      <w:bookmarkStart w:id="2" w:name="_Toc9945417"/>
      <w:bookmarkStart w:id="3" w:name="_Toc9945134"/>
      <w:bookmarkStart w:id="4" w:name="_Toc9945276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AB73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8D5C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14C9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2C134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建筑业态复杂，包含数字影棚、科研办公及公寓等。空调系统严格按照使用功能、朝向及作息时间进行精细化分区。科研办公及公寓组团主要采用变频多联机空调系统（VRV），可实现分户、分室独立控制，避免非使用时段的能源浪费；数字影棚及数据中心等大空间/高负荷区域采用集中式冷水机组，内区与外区分别划分独立的空调环路，并考虑了朝向差异引起的热负荷变化。</w:t>
            </w:r>
          </w:p>
        </w:tc>
      </w:tr>
    </w:tbl>
    <w:p w14:paraId="309A42D7">
      <w:bookmarkStart w:id="5" w:name="_Toc9945135"/>
      <w:bookmarkStart w:id="6" w:name="_Toc9944711"/>
      <w:bookmarkStart w:id="7" w:name="_Toc9944991"/>
      <w:bookmarkStart w:id="8" w:name="_Toc9945277"/>
      <w:bookmarkStart w:id="9" w:name="_Toc9945418"/>
    </w:p>
    <w:p w14:paraId="290305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EB603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 w14:paraId="27D75DB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 w14:paraId="0C33552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CC2A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</w:t>
            </w:r>
            <w:bookmarkStart w:id="70" w:name="_GoBack"/>
            <w:bookmarkEnd w:id="7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4992"/>
      <w:bookmarkStart w:id="12" w:name="_Toc9945278"/>
      <w:bookmarkStart w:id="13" w:name="_Toc9945136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1A3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0C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5137"/>
            <w:bookmarkStart w:id="17" w:name="_Toc9945279"/>
            <w:bookmarkStart w:id="18" w:name="_Toc9945420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71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421"/>
            <w:bookmarkStart w:id="21" w:name="_Toc9944714"/>
            <w:bookmarkStart w:id="22" w:name="_Toc9945138"/>
            <w:bookmarkStart w:id="23" w:name="_Toc9945280"/>
            <w:bookmarkStart w:id="24" w:name="_Toc9944994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1B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28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422"/>
            <w:bookmarkStart w:id="26" w:name="_Toc9945139"/>
            <w:bookmarkStart w:id="27" w:name="_Toc9944995"/>
            <w:bookmarkStart w:id="28" w:name="_Toc9944715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95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7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AC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5423"/>
            <w:bookmarkStart w:id="32" w:name="_Toc9945140"/>
            <w:bookmarkStart w:id="33" w:name="_Toc9945282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E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5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13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997"/>
            <w:bookmarkStart w:id="36" w:name="_Toc9945141"/>
            <w:bookmarkStart w:id="37" w:name="_Toc9945283"/>
            <w:bookmarkStart w:id="38" w:name="_Toc9945424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A3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7C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D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425"/>
            <w:bookmarkStart w:id="41" w:name="_Toc9945142"/>
            <w:bookmarkStart w:id="42" w:name="_Toc9945284"/>
            <w:bookmarkStart w:id="43" w:name="_Toc9944998"/>
            <w:bookmarkStart w:id="44" w:name="_Toc9944718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A1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4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20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426"/>
            <w:bookmarkStart w:id="49" w:name="_Toc9945285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F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EBA15"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4720"/>
      <w:bookmarkStart w:id="52" w:name="_Toc9945286"/>
      <w:bookmarkStart w:id="53" w:name="_Toc9945427"/>
      <w:bookmarkStart w:id="54" w:name="_Toc9945144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C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D02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145"/>
            <w:bookmarkStart w:id="56" w:name="_Toc9945287"/>
            <w:bookmarkStart w:id="57" w:name="_Toc9945428"/>
            <w:bookmarkStart w:id="58" w:name="_Toc9944721"/>
            <w:bookmarkStart w:id="59" w:name="_Toc994500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66D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2E9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8B2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21C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9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EA9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9F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347A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324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8F0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 w14:paraId="00E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ADB5"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105BEE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436"/>
      <w:bookmarkStart w:id="69" w:name="_Toc994529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D7ED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>
      <w:pPr>
        <w:rPr>
          <w:rFonts w:hint="eastAsia" w:cs="宋体"/>
        </w:rPr>
      </w:pPr>
      <w:r>
        <w:rPr>
          <w:rFonts w:hint="eastAsia" w:cs="宋体"/>
        </w:rPr>
        <w:t>1）暖通专业的设计说明、设备表、风系统图、水系统图等设计文件；</w:t>
      </w:r>
    </w:p>
    <w:p w14:paraId="3BE7C1E5">
      <w:pPr>
        <w:rPr>
          <w:rFonts w:cs="宋体"/>
        </w:rPr>
      </w:pPr>
      <w:r>
        <w:rPr>
          <w:rFonts w:hint="eastAsia" w:cs="宋体"/>
        </w:rPr>
        <w:t>2）电冷源综 合制冷性能系数(SCOP)计算书。</w:t>
      </w:r>
    </w:p>
    <w:p w14:paraId="20710521">
      <w:pPr>
        <w:rPr>
          <w:rFonts w:hint="eastAsia" w:cs="宋体"/>
        </w:rPr>
      </w:pPr>
    </w:p>
    <w:p w14:paraId="450649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D2B8A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10A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57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884</Characters>
  <Lines>6</Lines>
  <Paragraphs>1</Paragraphs>
  <TotalTime>6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李宁</cp:lastModifiedBy>
  <dcterms:modified xsi:type="dcterms:W3CDTF">2026-03-25T16:28:23Z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90B476F045874F29806E7F57698B8097_12</vt:lpwstr>
  </property>
</Properties>
</file>