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DC63A">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14:paraId="73DA76B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381" w:type="dxa"/>
        <w:tblInd w:w="91" w:type="dxa"/>
        <w:tblLayout w:type="autofit"/>
        <w:tblCellMar>
          <w:top w:w="0" w:type="dxa"/>
          <w:left w:w="108" w:type="dxa"/>
          <w:bottom w:w="0" w:type="dxa"/>
          <w:right w:w="108" w:type="dxa"/>
        </w:tblCellMar>
      </w:tblPr>
      <w:tblGrid>
        <w:gridCol w:w="755"/>
        <w:gridCol w:w="3515"/>
        <w:gridCol w:w="1417"/>
        <w:gridCol w:w="1276"/>
        <w:gridCol w:w="1418"/>
      </w:tblGrid>
      <w:tr w14:paraId="117CFAE0">
        <w:tblPrEx>
          <w:tblCellMar>
            <w:top w:w="0" w:type="dxa"/>
            <w:left w:w="108" w:type="dxa"/>
            <w:bottom w:w="0" w:type="dxa"/>
            <w:right w:w="108" w:type="dxa"/>
          </w:tblCellMar>
        </w:tblPrEx>
        <w:trPr>
          <w:trHeight w:val="270"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3C75F">
            <w:pPr>
              <w:widowControl/>
              <w:jc w:val="center"/>
              <w:rPr>
                <w:rFonts w:hint="eastAsia" w:ascii="宋体" w:hAnsi="宋体" w:cs="宋体"/>
                <w:b/>
                <w:bCs/>
                <w:kern w:val="0"/>
                <w:szCs w:val="21"/>
              </w:rPr>
            </w:pPr>
            <w:r>
              <w:rPr>
                <w:szCs w:val="21"/>
              </w:rPr>
              <w:t>序号</w:t>
            </w:r>
          </w:p>
        </w:tc>
        <w:tc>
          <w:tcPr>
            <w:tcW w:w="4932" w:type="dxa"/>
            <w:gridSpan w:val="2"/>
            <w:tcBorders>
              <w:top w:val="single" w:color="auto" w:sz="4" w:space="0"/>
              <w:left w:val="nil"/>
              <w:bottom w:val="single" w:color="auto" w:sz="4" w:space="0"/>
              <w:right w:val="single" w:color="auto" w:sz="4" w:space="0"/>
            </w:tcBorders>
            <w:shd w:val="clear" w:color="auto" w:fill="auto"/>
            <w:vAlign w:val="center"/>
          </w:tcPr>
          <w:p w14:paraId="7C44354A">
            <w:pPr>
              <w:widowControl/>
              <w:jc w:val="center"/>
              <w:rPr>
                <w:rFonts w:hint="eastAsia" w:ascii="宋体" w:hAnsi="宋体" w:cs="宋体"/>
                <w:kern w:val="0"/>
                <w:szCs w:val="21"/>
              </w:rPr>
            </w:pPr>
            <w:r>
              <w:rPr>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FBD5769">
            <w:pPr>
              <w:widowControl/>
              <w:jc w:val="center"/>
              <w:rPr>
                <w:rFonts w:hint="eastAsia" w:ascii="宋体" w:hAnsi="宋体" w:cs="宋体"/>
                <w:b/>
                <w:bCs/>
                <w:kern w:val="0"/>
                <w:szCs w:val="21"/>
              </w:rPr>
            </w:pPr>
            <w:r>
              <w:rPr>
                <w:szCs w:val="21"/>
              </w:rPr>
              <w:t>评价分值</w:t>
            </w: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7DCF36F9">
            <w:pPr>
              <w:widowControl/>
              <w:jc w:val="center"/>
              <w:rPr>
                <w:rFonts w:hint="eastAsia" w:ascii="宋体" w:hAnsi="宋体" w:cs="宋体"/>
                <w:b/>
                <w:bCs/>
                <w:kern w:val="0"/>
                <w:szCs w:val="21"/>
              </w:rPr>
            </w:pPr>
            <w:r>
              <w:rPr>
                <w:szCs w:val="21"/>
              </w:rPr>
              <w:t>自评得分</w:t>
            </w:r>
          </w:p>
        </w:tc>
      </w:tr>
      <w:tr w14:paraId="3A308253">
        <w:tblPrEx>
          <w:tblCellMar>
            <w:top w:w="0" w:type="dxa"/>
            <w:left w:w="108" w:type="dxa"/>
            <w:bottom w:w="0" w:type="dxa"/>
            <w:right w:w="108" w:type="dxa"/>
          </w:tblCellMar>
        </w:tblPrEx>
        <w:trPr>
          <w:trHeight w:val="418" w:hRule="atLeast"/>
        </w:trPr>
        <w:tc>
          <w:tcPr>
            <w:tcW w:w="755" w:type="dxa"/>
            <w:vMerge w:val="restart"/>
            <w:tcBorders>
              <w:top w:val="single" w:color="auto" w:sz="4" w:space="0"/>
              <w:left w:val="single" w:color="auto" w:sz="4" w:space="0"/>
              <w:right w:val="single" w:color="auto" w:sz="4" w:space="0"/>
            </w:tcBorders>
            <w:shd w:val="clear" w:color="auto" w:fill="auto"/>
            <w:noWrap/>
            <w:vAlign w:val="center"/>
          </w:tcPr>
          <w:p w14:paraId="02B12624">
            <w:pPr>
              <w:widowControl/>
              <w:rPr>
                <w:rFonts w:hint="eastAsia" w:ascii="宋体" w:hAnsi="宋体" w:cs="宋体"/>
                <w:kern w:val="0"/>
                <w:szCs w:val="21"/>
              </w:rPr>
            </w:pPr>
            <w:r>
              <w:rPr>
                <w:rFonts w:hint="eastAsia" w:ascii="宋体" w:hAnsi="宋体" w:cs="宋体"/>
                <w:kern w:val="0"/>
                <w:szCs w:val="21"/>
              </w:rPr>
              <w:t>1</w:t>
            </w:r>
          </w:p>
        </w:tc>
        <w:tc>
          <w:tcPr>
            <w:tcW w:w="3515" w:type="dxa"/>
            <w:vMerge w:val="restart"/>
            <w:tcBorders>
              <w:top w:val="single" w:color="auto" w:sz="4" w:space="0"/>
              <w:left w:val="single" w:color="auto" w:sz="4" w:space="0"/>
              <w:right w:val="single" w:color="auto" w:sz="4" w:space="0"/>
            </w:tcBorders>
            <w:shd w:val="clear" w:color="auto" w:fill="auto"/>
            <w:vAlign w:val="center"/>
          </w:tcPr>
          <w:p w14:paraId="6110E07C">
            <w:pPr>
              <w:widowControl/>
              <w:rPr>
                <w:rFonts w:hint="eastAsia" w:ascii="宋体" w:hAnsi="宋体" w:cs="宋体"/>
                <w:kern w:val="0"/>
                <w:szCs w:val="21"/>
              </w:rPr>
            </w:pPr>
            <w:r>
              <w:rPr>
                <w:rFonts w:hint="eastAsia" w:ascii="宋体" w:hAnsi="宋体" w:cs="宋体"/>
                <w:kern w:val="0"/>
                <w:szCs w:val="21"/>
              </w:rPr>
              <w:t>围护结构热工性能比现行强制性工程建设规范《建筑节能与可再生能源利用通用规范》GB 55015的规定提高</w:t>
            </w:r>
          </w:p>
        </w:tc>
        <w:tc>
          <w:tcPr>
            <w:tcW w:w="1417" w:type="dxa"/>
            <w:tcBorders>
              <w:top w:val="nil"/>
              <w:left w:val="nil"/>
              <w:bottom w:val="single" w:color="auto" w:sz="4" w:space="0"/>
              <w:right w:val="single" w:color="auto" w:sz="4" w:space="0"/>
            </w:tcBorders>
            <w:shd w:val="clear" w:color="auto" w:fill="auto"/>
            <w:noWrap/>
            <w:vAlign w:val="center"/>
          </w:tcPr>
          <w:p w14:paraId="5F80D1BC">
            <w:pPr>
              <w:widowControl/>
              <w:jc w:val="center"/>
              <w:rPr>
                <w:rFonts w:hint="eastAsia" w:ascii="宋体" w:hAnsi="宋体" w:cs="宋体"/>
                <w:kern w:val="0"/>
                <w:szCs w:val="21"/>
              </w:rPr>
            </w:pPr>
            <w:r>
              <w:rPr>
                <w:rFonts w:hint="eastAsia" w:ascii="宋体" w:hAnsi="宋体" w:cs="宋体"/>
                <w:kern w:val="0"/>
                <w:szCs w:val="21"/>
              </w:rPr>
              <w:t>5%</w:t>
            </w:r>
          </w:p>
        </w:tc>
        <w:tc>
          <w:tcPr>
            <w:tcW w:w="1276" w:type="dxa"/>
            <w:tcBorders>
              <w:top w:val="nil"/>
              <w:left w:val="nil"/>
              <w:bottom w:val="single" w:color="auto" w:sz="4" w:space="0"/>
              <w:right w:val="single" w:color="auto" w:sz="4" w:space="0"/>
            </w:tcBorders>
            <w:shd w:val="clear" w:color="auto" w:fill="auto"/>
            <w:noWrap/>
            <w:vAlign w:val="center"/>
          </w:tcPr>
          <w:p w14:paraId="6BFAFE3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nil"/>
              <w:left w:val="single" w:color="auto" w:sz="4" w:space="0"/>
              <w:right w:val="single" w:color="auto" w:sz="4" w:space="0"/>
            </w:tcBorders>
            <w:shd w:val="clear" w:color="auto" w:fill="auto"/>
            <w:noWrap/>
            <w:vAlign w:val="center"/>
          </w:tcPr>
          <w:p w14:paraId="16F7C440">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8</w:t>
            </w:r>
          </w:p>
        </w:tc>
      </w:tr>
      <w:tr w14:paraId="6758E006">
        <w:tblPrEx>
          <w:tblCellMar>
            <w:top w:w="0" w:type="dxa"/>
            <w:left w:w="108" w:type="dxa"/>
            <w:bottom w:w="0" w:type="dxa"/>
            <w:right w:w="108" w:type="dxa"/>
          </w:tblCellMar>
        </w:tblPrEx>
        <w:trPr>
          <w:trHeight w:val="1301" w:hRule="atLeast"/>
        </w:trPr>
        <w:tc>
          <w:tcPr>
            <w:tcW w:w="755" w:type="dxa"/>
            <w:vMerge w:val="continue"/>
            <w:tcBorders>
              <w:left w:val="single" w:color="auto" w:sz="4" w:space="0"/>
              <w:right w:val="single" w:color="auto" w:sz="4" w:space="0"/>
            </w:tcBorders>
            <w:vAlign w:val="center"/>
          </w:tcPr>
          <w:p w14:paraId="72047108">
            <w:pPr>
              <w:widowControl/>
              <w:rPr>
                <w:rFonts w:hint="eastAsia" w:ascii="宋体" w:hAnsi="宋体" w:cs="宋体"/>
                <w:kern w:val="0"/>
                <w:szCs w:val="21"/>
              </w:rPr>
            </w:pPr>
          </w:p>
        </w:tc>
        <w:tc>
          <w:tcPr>
            <w:tcW w:w="3515" w:type="dxa"/>
            <w:vMerge w:val="continue"/>
            <w:tcBorders>
              <w:left w:val="single" w:color="auto" w:sz="4" w:space="0"/>
              <w:right w:val="single" w:color="auto" w:sz="4" w:space="0"/>
            </w:tcBorders>
            <w:vAlign w:val="center"/>
          </w:tcPr>
          <w:p w14:paraId="2F7139AB">
            <w:pPr>
              <w:widowControl/>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25BE0F0B">
            <w:pPr>
              <w:widowControl/>
              <w:jc w:val="center"/>
              <w:rPr>
                <w:rFonts w:hint="eastAsia" w:ascii="宋体" w:hAnsi="宋体" w:cs="宋体"/>
                <w:kern w:val="0"/>
                <w:szCs w:val="21"/>
              </w:rPr>
            </w:pPr>
            <w:r>
              <w:rPr>
                <w:rFonts w:hint="eastAsia" w:ascii="宋体" w:hAnsi="宋体" w:cs="宋体"/>
                <w:kern w:val="0"/>
                <w:szCs w:val="21"/>
              </w:rPr>
              <w:t>每再提高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0753DC2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left w:val="single" w:color="auto" w:sz="4" w:space="0"/>
              <w:bottom w:val="single" w:color="auto" w:sz="4" w:space="0"/>
              <w:right w:val="single" w:color="auto" w:sz="4" w:space="0"/>
            </w:tcBorders>
            <w:vAlign w:val="center"/>
          </w:tcPr>
          <w:p w14:paraId="3730D49A">
            <w:pPr>
              <w:widowControl/>
              <w:jc w:val="left"/>
              <w:rPr>
                <w:rFonts w:hint="eastAsia" w:ascii="宋体" w:hAnsi="宋体" w:cs="宋体"/>
                <w:kern w:val="0"/>
                <w:szCs w:val="21"/>
              </w:rPr>
            </w:pPr>
          </w:p>
        </w:tc>
      </w:tr>
      <w:tr w14:paraId="5F32D002">
        <w:tblPrEx>
          <w:tblCellMar>
            <w:top w:w="0" w:type="dxa"/>
            <w:left w:w="108" w:type="dxa"/>
            <w:bottom w:w="0" w:type="dxa"/>
            <w:right w:w="108" w:type="dxa"/>
          </w:tblCellMar>
        </w:tblPrEx>
        <w:trPr>
          <w:trHeight w:val="270" w:hRule="atLeast"/>
        </w:trPr>
        <w:tc>
          <w:tcPr>
            <w:tcW w:w="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973C57">
            <w:pPr>
              <w:widowControl/>
              <w:rPr>
                <w:rFonts w:hint="eastAsia" w:ascii="宋体" w:hAnsi="宋体" w:cs="宋体"/>
                <w:kern w:val="0"/>
                <w:szCs w:val="21"/>
              </w:rPr>
            </w:pPr>
            <w:r>
              <w:rPr>
                <w:rFonts w:hint="eastAsia" w:ascii="宋体" w:hAnsi="宋体" w:cs="宋体"/>
                <w:kern w:val="0"/>
                <w:szCs w:val="21"/>
              </w:rPr>
              <w:t>2</w:t>
            </w:r>
          </w:p>
        </w:tc>
        <w:tc>
          <w:tcPr>
            <w:tcW w:w="3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F2C09A">
            <w:pPr>
              <w:widowControl/>
              <w:rPr>
                <w:rFonts w:hint="eastAsia" w:ascii="宋体" w:hAnsi="宋体" w:cs="宋体"/>
                <w:kern w:val="0"/>
                <w:szCs w:val="21"/>
              </w:rPr>
            </w:pPr>
            <w:r>
              <w:rPr>
                <w:rFonts w:hint="eastAsia" w:ascii="宋体" w:hAnsi="宋体" w:cs="宋体"/>
                <w:kern w:val="0"/>
                <w:szCs w:val="21"/>
              </w:rPr>
              <w:t>建筑供暖空调负荷降低</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ED3BC77">
            <w:pPr>
              <w:widowControl/>
              <w:jc w:val="center"/>
              <w:rPr>
                <w:rFonts w:hint="eastAsia" w:ascii="宋体" w:hAnsi="宋体" w:cs="宋体"/>
                <w:kern w:val="0"/>
                <w:szCs w:val="21"/>
              </w:rPr>
            </w:pPr>
            <w:r>
              <w:rPr>
                <w:rFonts w:hint="eastAsia" w:ascii="宋体" w:hAnsi="宋体" w:cs="宋体"/>
                <w:kern w:val="0"/>
                <w:szCs w:val="21"/>
              </w:rPr>
              <w:t>降低 3%</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BF23059">
            <w:pPr>
              <w:widowControl/>
              <w:jc w:val="center"/>
              <w:rPr>
                <w:rFonts w:hint="eastAsia" w:ascii="宋体" w:hAnsi="宋体" w:cs="宋体"/>
                <w:kern w:val="0"/>
                <w:szCs w:val="21"/>
              </w:rPr>
            </w:pPr>
            <w:r>
              <w:rPr>
                <w:rFonts w:hint="eastAsia" w:ascii="宋体" w:hAnsi="宋体" w:cs="宋体"/>
                <w:kern w:val="0"/>
                <w:szCs w:val="21"/>
              </w:rPr>
              <w:t>5</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5357769">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5</w:t>
            </w:r>
          </w:p>
        </w:tc>
      </w:tr>
      <w:tr w14:paraId="64746ED8">
        <w:tblPrEx>
          <w:tblCellMar>
            <w:top w:w="0" w:type="dxa"/>
            <w:left w:w="108" w:type="dxa"/>
            <w:bottom w:w="0" w:type="dxa"/>
            <w:right w:w="108" w:type="dxa"/>
          </w:tblCellMar>
        </w:tblPrEx>
        <w:trPr>
          <w:trHeight w:val="270" w:hRule="atLeast"/>
        </w:trPr>
        <w:tc>
          <w:tcPr>
            <w:tcW w:w="755" w:type="dxa"/>
            <w:vMerge w:val="continue"/>
            <w:tcBorders>
              <w:top w:val="single" w:color="auto" w:sz="4" w:space="0"/>
              <w:left w:val="single" w:color="auto" w:sz="4" w:space="0"/>
              <w:bottom w:val="single" w:color="auto" w:sz="4" w:space="0"/>
              <w:right w:val="single" w:color="auto" w:sz="4" w:space="0"/>
            </w:tcBorders>
            <w:vAlign w:val="center"/>
          </w:tcPr>
          <w:p w14:paraId="3B62C6E7">
            <w:pPr>
              <w:widowControl/>
              <w:jc w:val="left"/>
              <w:rPr>
                <w:rFonts w:hint="eastAsia" w:ascii="宋体" w:hAnsi="宋体" w:cs="宋体"/>
                <w:kern w:val="0"/>
                <w:szCs w:val="21"/>
              </w:rPr>
            </w:pPr>
          </w:p>
        </w:tc>
        <w:tc>
          <w:tcPr>
            <w:tcW w:w="3515" w:type="dxa"/>
            <w:vMerge w:val="continue"/>
            <w:tcBorders>
              <w:top w:val="single" w:color="auto" w:sz="4" w:space="0"/>
              <w:left w:val="single" w:color="auto" w:sz="4" w:space="0"/>
              <w:bottom w:val="single" w:color="auto" w:sz="4" w:space="0"/>
              <w:right w:val="single" w:color="auto" w:sz="4" w:space="0"/>
            </w:tcBorders>
            <w:vAlign w:val="center"/>
          </w:tcPr>
          <w:p w14:paraId="57754E27">
            <w:pPr>
              <w:widowControl/>
              <w:jc w:val="left"/>
              <w:rPr>
                <w:rFonts w:hint="eastAsia" w:ascii="宋体" w:hAnsi="宋体" w:cs="宋体"/>
                <w:kern w:val="0"/>
                <w:szCs w:val="21"/>
              </w:rPr>
            </w:pPr>
          </w:p>
        </w:tc>
        <w:tc>
          <w:tcPr>
            <w:tcW w:w="1417" w:type="dxa"/>
            <w:tcBorders>
              <w:top w:val="nil"/>
              <w:left w:val="nil"/>
              <w:bottom w:val="single" w:color="auto" w:sz="4" w:space="0"/>
              <w:right w:val="single" w:color="auto" w:sz="4" w:space="0"/>
            </w:tcBorders>
            <w:shd w:val="clear" w:color="auto" w:fill="auto"/>
            <w:vAlign w:val="center"/>
          </w:tcPr>
          <w:p w14:paraId="4A441DE3">
            <w:pPr>
              <w:widowControl/>
              <w:jc w:val="center"/>
              <w:rPr>
                <w:rFonts w:hint="eastAsia" w:ascii="宋体" w:hAnsi="宋体" w:cs="宋体"/>
                <w:kern w:val="0"/>
                <w:szCs w:val="21"/>
              </w:rPr>
            </w:pPr>
            <w:r>
              <w:rPr>
                <w:rFonts w:hint="eastAsia" w:ascii="宋体" w:hAnsi="宋体" w:cs="宋体"/>
                <w:kern w:val="0"/>
                <w:szCs w:val="21"/>
              </w:rPr>
              <w:t>每再降低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323B60A3">
            <w:pPr>
              <w:widowControl/>
              <w:jc w:val="center"/>
              <w:rPr>
                <w:rFonts w:hint="eastAsia" w:ascii="宋体" w:hAnsi="宋体" w:cs="宋体"/>
                <w:kern w:val="0"/>
                <w:szCs w:val="21"/>
              </w:rPr>
            </w:pPr>
            <w:r>
              <w:rPr>
                <w:rFonts w:hint="eastAsia" w:ascii="宋体" w:hAnsi="宋体" w:cs="宋体"/>
                <w:kern w:val="0"/>
                <w:szCs w:val="21"/>
              </w:rPr>
              <w:t>10</w:t>
            </w:r>
          </w:p>
        </w:tc>
        <w:tc>
          <w:tcPr>
            <w:tcW w:w="1418" w:type="dxa"/>
            <w:vMerge w:val="continue"/>
            <w:tcBorders>
              <w:top w:val="nil"/>
              <w:left w:val="single" w:color="auto" w:sz="4" w:space="0"/>
              <w:bottom w:val="single" w:color="000000" w:sz="4" w:space="0"/>
              <w:right w:val="single" w:color="auto" w:sz="4" w:space="0"/>
            </w:tcBorders>
            <w:vAlign w:val="center"/>
          </w:tcPr>
          <w:p w14:paraId="2AF71885">
            <w:pPr>
              <w:widowControl/>
              <w:jc w:val="left"/>
              <w:rPr>
                <w:rFonts w:hint="eastAsia" w:ascii="宋体" w:hAnsi="宋体" w:cs="宋体"/>
                <w:kern w:val="0"/>
                <w:szCs w:val="21"/>
              </w:rPr>
            </w:pPr>
          </w:p>
        </w:tc>
      </w:tr>
      <w:tr w14:paraId="60DEB11D">
        <w:tblPrEx>
          <w:tblCellMar>
            <w:top w:w="0" w:type="dxa"/>
            <w:left w:w="108" w:type="dxa"/>
            <w:bottom w:w="0" w:type="dxa"/>
            <w:right w:w="108" w:type="dxa"/>
          </w:tblCellMar>
        </w:tblPrEx>
        <w:trPr>
          <w:trHeight w:val="270" w:hRule="atLeast"/>
        </w:trPr>
        <w:tc>
          <w:tcPr>
            <w:tcW w:w="56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CD4E13">
            <w:pPr>
              <w:widowControl/>
              <w:jc w:val="center"/>
              <w:rPr>
                <w:rFonts w:hint="eastAsia"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noWrap/>
            <w:vAlign w:val="center"/>
          </w:tcPr>
          <w:p w14:paraId="1C39278A">
            <w:pPr>
              <w:widowControl/>
              <w:jc w:val="center"/>
              <w:rPr>
                <w:rFonts w:hint="eastAsia" w:ascii="宋体" w:hAnsi="宋体" w:cs="宋体"/>
                <w:kern w:val="0"/>
                <w:szCs w:val="21"/>
              </w:rPr>
            </w:pPr>
            <w:r>
              <w:rPr>
                <w:rFonts w:hint="eastAsia" w:ascii="宋体" w:hAnsi="宋体" w:cs="宋体"/>
                <w:kern w:val="0"/>
                <w:szCs w:val="21"/>
              </w:rPr>
              <w:t>10</w:t>
            </w:r>
          </w:p>
        </w:tc>
        <w:tc>
          <w:tcPr>
            <w:tcW w:w="1418" w:type="dxa"/>
            <w:tcBorders>
              <w:top w:val="nil"/>
              <w:left w:val="nil"/>
              <w:bottom w:val="single" w:color="auto" w:sz="4" w:space="0"/>
              <w:right w:val="single" w:color="auto" w:sz="4" w:space="0"/>
            </w:tcBorders>
            <w:shd w:val="clear" w:color="auto" w:fill="auto"/>
            <w:noWrap/>
            <w:vAlign w:val="center"/>
          </w:tcPr>
          <w:p w14:paraId="57AE9D8B">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w:t>
            </w:r>
          </w:p>
        </w:tc>
      </w:tr>
    </w:tbl>
    <w:p w14:paraId="4493500F"/>
    <w:p w14:paraId="4D99F601">
      <w:pPr>
        <w:spacing w:before="156" w:beforeLines="50" w:after="156" w:afterLines="50"/>
        <w:rPr>
          <w:rFonts w:ascii="Times New Roman" w:hAnsi="Times New Roman" w:eastAsia="宋体" w:cs="Times New Roman"/>
          <w:b/>
          <w:szCs w:val="21"/>
        </w:rPr>
      </w:pPr>
      <w:bookmarkStart w:id="0" w:name="_Toc9945332"/>
      <w:bookmarkStart w:id="1" w:name="_Toc9944766"/>
      <w:bookmarkStart w:id="2" w:name="_Toc9945046"/>
      <w:bookmarkStart w:id="3" w:name="_Toc9945190"/>
      <w:bookmarkStart w:id="4" w:name="_Toc9945473"/>
      <w:r>
        <w:rPr>
          <w:rFonts w:ascii="Times New Roman" w:hAnsi="Times New Roman" w:eastAsia="宋体" w:cs="Times New Roman"/>
          <w:b/>
          <w:szCs w:val="21"/>
        </w:rPr>
        <w:t>2 评价要点</w:t>
      </w:r>
    </w:p>
    <w:p w14:paraId="267F6EEA">
      <w:pPr>
        <w:rPr>
          <w:u w:val="single"/>
        </w:rPr>
      </w:pPr>
      <w:r>
        <w:rPr>
          <w:rFonts w:hint="eastAsia"/>
        </w:rPr>
        <w:t>执行的建筑节能标准：</w:t>
      </w:r>
      <w:r>
        <w:rPr>
          <w:rFonts w:hint="eastAsia"/>
          <w:u w:val="single"/>
        </w:rPr>
        <w:t xml:space="preserve"> </w:t>
      </w:r>
      <w:r>
        <w:rPr>
          <w:rFonts w:ascii="宋体" w:hAnsi="宋体" w:eastAsia="宋体" w:cs="宋体"/>
          <w:sz w:val="24"/>
          <w:szCs w:val="24"/>
        </w:rPr>
        <w:t>《建筑节能与可再生能源利用通用规范》GB 55015-2021</w:t>
      </w:r>
      <w:r>
        <w:rPr>
          <w:rFonts w:hint="eastAsia"/>
          <w:u w:val="single"/>
        </w:rPr>
        <w:t xml:space="preserve">  </w:t>
      </w:r>
    </w:p>
    <w:p w14:paraId="01CEC5BA">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14:paraId="70938E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14:paraId="74842551">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14:paraId="0C988FD7">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14:paraId="53D2D570">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14:paraId="5A531B94">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14:paraId="4155DA34">
            <w:pPr>
              <w:widowControl/>
              <w:jc w:val="center"/>
              <w:rPr>
                <w:rFonts w:ascii="Times New Roman" w:hAnsi="Times New Roman" w:cs="Times New Roman"/>
                <w:kern w:val="0"/>
                <w:szCs w:val="21"/>
              </w:rPr>
            </w:pPr>
            <w:r>
              <w:rPr>
                <w:rFonts w:ascii="Times New Roman" w:hAnsi="Times New Roman" w:cs="Times New Roman"/>
                <w:kern w:val="0"/>
                <w:szCs w:val="21"/>
              </w:rPr>
              <w:t>提高</w:t>
            </w:r>
          </w:p>
          <w:p w14:paraId="15A0C3C7">
            <w:pPr>
              <w:widowControl/>
              <w:jc w:val="center"/>
              <w:rPr>
                <w:rFonts w:ascii="Times New Roman" w:hAnsi="Times New Roman" w:cs="Times New Roman"/>
                <w:kern w:val="0"/>
                <w:szCs w:val="21"/>
              </w:rPr>
            </w:pPr>
            <w:r>
              <w:rPr>
                <w:rFonts w:ascii="Times New Roman" w:hAnsi="Times New Roman" w:cs="Times New Roman"/>
                <w:kern w:val="0"/>
                <w:szCs w:val="21"/>
              </w:rPr>
              <w:t>比例</w:t>
            </w:r>
          </w:p>
          <w:p w14:paraId="53835653">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7E9C6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14:paraId="67C941F3">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14:paraId="2EF40216">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14:paraId="6200D4AA">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14:paraId="54EB7352">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14:paraId="67B3EA67">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14:paraId="7C34548B">
            <w:pPr>
              <w:widowControl/>
              <w:jc w:val="center"/>
              <w:rPr>
                <w:rFonts w:ascii="Times New Roman" w:hAnsi="Times New Roman" w:cs="Times New Roman"/>
                <w:kern w:val="0"/>
                <w:szCs w:val="21"/>
              </w:rPr>
            </w:pPr>
          </w:p>
        </w:tc>
      </w:tr>
      <w:tr w14:paraId="5DEED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50CCA849">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14:paraId="5660DCD9">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D0552F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04D8BC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29F913C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5378D77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458C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14:paraId="2F5768DB">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14:paraId="475E6430">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0B365BFC">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F737E2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4CBB936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313C71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38C8A46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4B24F3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5DDDFF6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89B2E9E">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645818F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2C2DD6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28B577B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4BD73A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30AA9E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59394D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63A8487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49F02EA1">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1E39C1F0">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8D1D9C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59D372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4B58ECE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D84C2F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FD90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14:paraId="0669E4C0">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7794D3A">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73947BB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25C016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EAF0DC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5CB190E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311759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D7FB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73594088">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14:paraId="420D88E2">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1C491A1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B7AFC5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82E4A9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2F1B37E">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5E1C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182EE029">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595A3E8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761D1B9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55B7DD7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09B93E2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292696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DF644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20BC9665">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7DE2594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6F873E7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3275825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0.65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6116860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0.8</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38213B8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D636D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14:paraId="1BB839E4">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0591A5E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3F95C8E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704A5FF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7051BE6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0B0296E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CBD0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6A5CD109">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05CC43C7">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14:paraId="0850E64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229F52D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5538DCA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01763D3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3016A66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6FFA348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6A5BF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AB319FD">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33F8C2DF">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6958B52F">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0B2BB38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14:paraId="2693FC2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14:paraId="163CDBB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1.80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14:paraId="37C54E13">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2.20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14:paraId="275105E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195D04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6536F835">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08DCEF9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1EE0EBCC">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35C2A67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0778BCE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DF4DBE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5A5779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67EA0F62">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C045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083BEC2">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939DAC9">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3B8B47B5">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694AB9C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2C6DF8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2798FF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1C94B57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1001B18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912E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3E73F50D">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14:paraId="018CC852">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14:paraId="10EDA80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14:paraId="08544E9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557DCB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6BB699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4ECE361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7FDA79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375B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24E09F5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584D5A51">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2A8EB87C">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14:paraId="40482578">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2AD23DD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5E9A50DE">
                <w:pPr>
                  <w:widowControl/>
                  <w:jc w:val="center"/>
                  <w:rPr>
                    <w:rFonts w:ascii="Times New Roman" w:hAnsi="Times New Roman" w:cs="Times New Roman"/>
                    <w:kern w:val="0"/>
                    <w:szCs w:val="21"/>
                  </w:rPr>
                </w:pPr>
                <w:r>
                  <w:rPr>
                    <w:rFonts w:hint="eastAsia" w:ascii="Times New Roman" w:hAnsi="Times New Roman" w:eastAsia="宋体" w:cs="Times New Roman"/>
                    <w:szCs w:val="21"/>
                    <w:lang w:val="en-US" w:eastAsia="zh-CN"/>
                  </w:rPr>
                  <w:t>0.35</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611D3B9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0.4</w:t>
                </w:r>
                <w:bookmarkStart w:id="6" w:name="_GoBack"/>
                <w:bookmarkEnd w:id="6"/>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9844C73">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3B2E1C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6429F86">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74EEC752">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0761878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14:paraId="43983D4D">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27479D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097399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32E605D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D7B385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07CE7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72FAF23C">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14:paraId="202BE17C">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14:paraId="4E7604EC">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14:paraId="20A7B863">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5D5981F5">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4DDB8598">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9A1002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308F62C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4E4ECC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14:paraId="15DB53C2">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1A28F319">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14:paraId="3002D3B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7780A77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DA62CF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0B18EA50">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55E1B0F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BBAA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14:paraId="4008ED86">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318CF40A">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14:paraId="077AEC9E">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11D419B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10EBD47B">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4243395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27FBA37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7217D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4368364F">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0FF853A3">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44AD4D03">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77039CA">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3765E216">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5A9F2874">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26DFC867">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2502E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14:paraId="18B52380">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14:paraId="781FA376">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14:paraId="70CEEE62">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14:paraId="4D9C2401">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14:paraId="7A1E24AF">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14:paraId="7172441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14:paraId="47ABCDCC">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14:paraId="7C4C81FB">
      <w:r>
        <w:rPr>
          <w:rFonts w:hint="eastAsia" w:cs="宋体"/>
          <w:szCs w:val="21"/>
        </w:rPr>
        <w:t>注：参评建筑下的列分类“类型I、类型II”指一栋建筑中存在多种围护结构或一个项目存在多个参评建筑时的区别表示方式。</w:t>
      </w:r>
    </w:p>
    <w:p w14:paraId="1E2362DC">
      <w:pPr>
        <w:jc w:val="left"/>
      </w:pPr>
      <w:r>
        <w:rPr>
          <w:rFonts w:hint="eastAsia"/>
        </w:rPr>
        <w:t>或者</w:t>
      </w:r>
    </w:p>
    <w:p w14:paraId="4E946252">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14:paraId="3B1BFE52">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14:paraId="2D8CB9CF">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14:paraId="0AC101C2">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14:paraId="296D34DD">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14:paraId="5D91BD67">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14:paraId="0F4FC80C">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3BF86AD4">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14:paraId="44271517">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2A60F789">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650516FD">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14:paraId="51FBC031">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02BA2990">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14:paraId="3AD92B71">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38645563">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7C2C7E71">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14:paraId="20A25DC3">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14:paraId="4208FD7B">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14:paraId="6DF11DD0">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14:paraId="5611B55D">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14:paraId="006793EB">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14:paraId="661C9E89">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14:paraId="0FF3CEF2">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14:paraId="1756D842">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14:paraId="79B3143F">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72FACC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A74F596">
      <w:pPr>
        <w:rPr>
          <w:rFonts w:ascii="Times New Roman" w:hAnsi="Times New Roman" w:eastAsia="宋体" w:cs="Times New Roman"/>
          <w:szCs w:val="21"/>
        </w:rPr>
      </w:pPr>
      <w:r>
        <w:rPr>
          <w:rFonts w:ascii="Times New Roman" w:hAnsi="Times New Roman" w:eastAsia="宋体" w:cs="Times New Roman"/>
          <w:szCs w:val="21"/>
        </w:rPr>
        <w:t>提交材料及要求：</w:t>
      </w:r>
    </w:p>
    <w:p w14:paraId="1D435A21">
      <w:pPr>
        <w:rPr>
          <w:rFonts w:ascii="Times New Roman" w:hAnsi="Times New Roman" w:cs="Times New Roman" w:eastAsiaTheme="majorEastAsia"/>
        </w:rPr>
      </w:pPr>
      <w:r>
        <w:rPr>
          <w:rFonts w:hint="eastAsia" w:ascii="Times New Roman" w:hAnsi="Times New Roman" w:cs="Times New Roman" w:eastAsiaTheme="majorEastAsia"/>
        </w:rPr>
        <w:t>1）</w:t>
      </w:r>
      <w:r>
        <w:rPr>
          <w:rFonts w:ascii="Times New Roman" w:hAnsi="Times New Roman" w:cs="Times New Roman" w:eastAsiaTheme="majorEastAsia"/>
        </w:rPr>
        <w:t>建筑施工图及设计说明、围护结构施工详图、围护结构热工性能参数表等设计文件</w:t>
      </w:r>
      <w:r>
        <w:rPr>
          <w:rFonts w:hint="eastAsia" w:ascii="Times New Roman" w:hAnsi="Times New Roman" w:cs="Times New Roman" w:eastAsiaTheme="majorEastAsia"/>
        </w:rPr>
        <w:t>；</w:t>
      </w:r>
    </w:p>
    <w:p w14:paraId="3BE57463">
      <w:pPr>
        <w:rPr>
          <w:rFonts w:ascii="Times New Roman" w:hAnsi="Times New Roman" w:cs="Times New Roman" w:eastAsiaTheme="majorEastAsia"/>
        </w:rPr>
      </w:pPr>
      <w:r>
        <w:rPr>
          <w:rFonts w:hint="eastAsia" w:ascii="Times New Roman" w:hAnsi="Times New Roman" w:cs="Times New Roman" w:eastAsiaTheme="majorEastAsia"/>
        </w:rPr>
        <w:t>2）</w:t>
      </w:r>
      <w:r>
        <w:rPr>
          <w:rFonts w:ascii="Times New Roman" w:hAnsi="Times New Roman" w:cs="Times New Roman" w:eastAsiaTheme="majorEastAsia"/>
        </w:rPr>
        <w:t>当地建筑节能审查相关文件</w:t>
      </w:r>
      <w:r>
        <w:rPr>
          <w:rFonts w:hint="eastAsia" w:ascii="Times New Roman" w:hAnsi="Times New Roman" w:cs="Times New Roman" w:eastAsiaTheme="majorEastAsia"/>
        </w:rPr>
        <w:t>；</w:t>
      </w:r>
    </w:p>
    <w:p w14:paraId="6CAECFFB">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14:paraId="096DBE1B">
      <w:pPr>
        <w:rPr>
          <w:rFonts w:ascii="Times New Roman" w:hAnsi="Times New Roman" w:cs="Times New Roman" w:eastAsiaTheme="majorEastAsia"/>
        </w:rPr>
      </w:pPr>
      <w:r>
        <w:rPr>
          <w:rFonts w:hint="eastAsia" w:ascii="Times New Roman" w:hAnsi="Times New Roman" w:cs="Times New Roman" w:eastAsiaTheme="majorEastAsia"/>
        </w:rPr>
        <w:t>4）</w:t>
      </w:r>
      <w:r>
        <w:rPr>
          <w:rFonts w:ascii="Times New Roman" w:hAnsi="Times New Roman" w:cs="Times New Roman" w:eastAsiaTheme="majorEastAsia"/>
        </w:rPr>
        <w:t>当地建筑节能审查相关文件及节能工程验收记录</w:t>
      </w:r>
      <w:r>
        <w:rPr>
          <w:rFonts w:hint="eastAsia" w:ascii="Times New Roman" w:hAnsi="Times New Roman" w:cs="Times New Roman" w:eastAsiaTheme="majorEastAsia"/>
        </w:rPr>
        <w:t>。</w:t>
      </w:r>
    </w:p>
    <w:p w14:paraId="40B59F38">
      <w:pPr>
        <w:pStyle w:val="14"/>
        <w:ind w:firstLine="0" w:firstLineChars="0"/>
      </w:pPr>
    </w:p>
    <w:p w14:paraId="12A9FE7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59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1E94BE67">
            <w:pPr>
              <w:rPr>
                <w:rFonts w:ascii="Times New Roman" w:hAnsi="Times New Roman" w:eastAsia="宋体" w:cs="Times New Roman"/>
                <w:kern w:val="0"/>
                <w:sz w:val="20"/>
                <w:szCs w:val="21"/>
              </w:rPr>
            </w:pPr>
          </w:p>
        </w:tc>
      </w:tr>
    </w:tbl>
    <w:p w14:paraId="3B6DB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6A"/>
    <w:rsid w:val="00074A38"/>
    <w:rsid w:val="00077AC9"/>
    <w:rsid w:val="00110D6A"/>
    <w:rsid w:val="001D14FE"/>
    <w:rsid w:val="003F3E0E"/>
    <w:rsid w:val="005E4CFB"/>
    <w:rsid w:val="00670DB2"/>
    <w:rsid w:val="006E6E5F"/>
    <w:rsid w:val="008D26E0"/>
    <w:rsid w:val="00C916D7"/>
    <w:rsid w:val="00E305DD"/>
    <w:rsid w:val="00E61DFB"/>
    <w:rsid w:val="1A6A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14:paraId="2AD45E83">
          <w:pPr>
            <w:pStyle w:val="5"/>
            <w:rPr>
              <w:rFonts w:hint="eastAsia"/>
            </w:rPr>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14:paraId="5CCE94BC">
          <w:pPr>
            <w:pStyle w:val="6"/>
            <w:rPr>
              <w:rFonts w:hint="eastAsia"/>
            </w:rPr>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14:paraId="38374249">
          <w:pPr>
            <w:pStyle w:val="7"/>
            <w:rPr>
              <w:rFonts w:hint="eastAsia"/>
            </w:rPr>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14:paraId="187352E0">
          <w:pPr>
            <w:pStyle w:val="8"/>
            <w:rPr>
              <w:rFonts w:hint="eastAsia"/>
            </w:rPr>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14:paraId="1AFECB72">
          <w:pPr>
            <w:pStyle w:val="9"/>
            <w:rPr>
              <w:rFonts w:hint="eastAsia"/>
            </w:rPr>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14:paraId="60295539">
          <w:pPr>
            <w:pStyle w:val="10"/>
            <w:rPr>
              <w:rFonts w:hint="eastAsia"/>
            </w:rPr>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14:paraId="04419D47">
          <w:pPr>
            <w:pStyle w:val="11"/>
            <w:rPr>
              <w:rFonts w:hint="eastAsia"/>
            </w:rPr>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14:paraId="3BC2F6E0">
          <w:pPr>
            <w:pStyle w:val="12"/>
            <w:rPr>
              <w:rFonts w:hint="eastAsia"/>
            </w:rPr>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14:paraId="2F98260A">
          <w:pPr>
            <w:pStyle w:val="13"/>
            <w:rPr>
              <w:rFonts w:hint="eastAsia"/>
            </w:rPr>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14:paraId="64003192">
          <w:pPr>
            <w:pStyle w:val="14"/>
            <w:rPr>
              <w:rFonts w:hint="eastAsia"/>
            </w:rPr>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14:paraId="193510B6">
          <w:pPr>
            <w:pStyle w:val="15"/>
            <w:rPr>
              <w:rFonts w:hint="eastAsia"/>
            </w:rPr>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14:paraId="12D4D259">
          <w:pPr>
            <w:pStyle w:val="16"/>
            <w:rPr>
              <w:rFonts w:hint="eastAsia"/>
            </w:rPr>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14:paraId="40784B2C">
          <w:pPr>
            <w:pStyle w:val="17"/>
            <w:rPr>
              <w:rFonts w:hint="eastAsia"/>
            </w:rPr>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14:paraId="3C4F3623">
          <w:pPr>
            <w:pStyle w:val="18"/>
            <w:rPr>
              <w:rFonts w:hint="eastAsia"/>
            </w:rPr>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14:paraId="0CA579CF">
          <w:pPr>
            <w:pStyle w:val="19"/>
            <w:rPr>
              <w:rFonts w:hint="eastAsia"/>
            </w:rPr>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14:paraId="314AF69E">
          <w:pPr>
            <w:pStyle w:val="20"/>
            <w:rPr>
              <w:rFonts w:hint="eastAsia"/>
            </w:rPr>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14:paraId="005885CD">
          <w:pPr>
            <w:pStyle w:val="21"/>
            <w:rPr>
              <w:rFonts w:hint="eastAsia"/>
            </w:rPr>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14:paraId="1CE5A2BD">
          <w:pPr>
            <w:pStyle w:val="22"/>
            <w:rPr>
              <w:rFonts w:hint="eastAsia"/>
            </w:rPr>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14:paraId="098D2048">
          <w:pPr>
            <w:pStyle w:val="23"/>
            <w:rPr>
              <w:rFonts w:hint="eastAsia"/>
            </w:rPr>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14:paraId="3AE1F0EB">
          <w:pPr>
            <w:pStyle w:val="24"/>
            <w:rPr>
              <w:rFonts w:hint="eastAsia"/>
            </w:rPr>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14:paraId="0DA59A73">
          <w:pPr>
            <w:pStyle w:val="25"/>
            <w:rPr>
              <w:rFonts w:hint="eastAsia"/>
            </w:rPr>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14:paraId="7F48C2FE">
          <w:pPr>
            <w:pStyle w:val="26"/>
            <w:rPr>
              <w:rFonts w:hint="eastAsia"/>
            </w:rPr>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14:paraId="378D5FD3">
          <w:pPr>
            <w:pStyle w:val="27"/>
            <w:rPr>
              <w:rFonts w:hint="eastAsia"/>
            </w:rPr>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14:paraId="678EAC83">
          <w:pPr>
            <w:pStyle w:val="28"/>
            <w:rPr>
              <w:rFonts w:hint="eastAsia"/>
            </w:rPr>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14:paraId="56B59476">
          <w:pPr>
            <w:pStyle w:val="29"/>
            <w:rPr>
              <w:rFonts w:hint="eastAsia"/>
            </w:rPr>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14:paraId="3E41FA9E">
          <w:pPr>
            <w:pStyle w:val="30"/>
            <w:rPr>
              <w:rFonts w:hint="eastAsia"/>
            </w:rPr>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14:paraId="283347BE">
          <w:pPr>
            <w:pStyle w:val="31"/>
            <w:rPr>
              <w:rFonts w:hint="eastAsia"/>
            </w:rPr>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14:paraId="23A61ABC">
          <w:pPr>
            <w:pStyle w:val="32"/>
            <w:rPr>
              <w:rFonts w:hint="eastAsia"/>
            </w:rPr>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14:paraId="4EFBCF7D">
          <w:pPr>
            <w:pStyle w:val="33"/>
            <w:rPr>
              <w:rFonts w:hint="eastAsia"/>
            </w:rPr>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14:paraId="682FE0C3">
          <w:pPr>
            <w:pStyle w:val="34"/>
            <w:rPr>
              <w:rFonts w:hint="eastAsia"/>
            </w:rPr>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14:paraId="246B7DDC">
          <w:pPr>
            <w:pStyle w:val="35"/>
            <w:rPr>
              <w:rFonts w:hint="eastAsia"/>
            </w:rPr>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14:paraId="2A2B72A9">
          <w:pPr>
            <w:pStyle w:val="36"/>
            <w:rPr>
              <w:rFonts w:hint="eastAsia"/>
            </w:rPr>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14:paraId="75890A2E">
          <w:pPr>
            <w:pStyle w:val="37"/>
            <w:rPr>
              <w:rFonts w:hint="eastAsia"/>
            </w:rPr>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14:paraId="195F682D">
          <w:pPr>
            <w:pStyle w:val="38"/>
            <w:rPr>
              <w:rFonts w:hint="eastAsia"/>
            </w:rPr>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14:paraId="79CB7BC3">
          <w:pPr>
            <w:pStyle w:val="39"/>
            <w:rPr>
              <w:rFonts w:hint="eastAsia"/>
            </w:rPr>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14:paraId="2A4BA19D">
          <w:pPr>
            <w:pStyle w:val="40"/>
            <w:rPr>
              <w:rFonts w:hint="eastAsia"/>
            </w:rPr>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14:paraId="01A42C94">
          <w:pPr>
            <w:pStyle w:val="41"/>
            <w:rPr>
              <w:rFonts w:hint="eastAsia"/>
            </w:rPr>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14:paraId="02D9E97B">
          <w:pPr>
            <w:pStyle w:val="42"/>
            <w:rPr>
              <w:rFonts w:hint="eastAsia"/>
            </w:rPr>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14:paraId="62576F22">
          <w:pPr>
            <w:pStyle w:val="43"/>
            <w:rPr>
              <w:rFonts w:hint="eastAsia"/>
            </w:rPr>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14:paraId="2D2C3E05">
          <w:pPr>
            <w:pStyle w:val="44"/>
            <w:rPr>
              <w:rFonts w:hint="eastAsia"/>
            </w:rPr>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14:paraId="3BC2DE04">
          <w:pPr>
            <w:pStyle w:val="45"/>
            <w:rPr>
              <w:rFonts w:hint="eastAsia"/>
            </w:rPr>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14:paraId="0749FEEA">
          <w:pPr>
            <w:pStyle w:val="46"/>
            <w:rPr>
              <w:rFonts w:hint="eastAsia"/>
            </w:rPr>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14:paraId="18E5ADF0">
          <w:pPr>
            <w:pStyle w:val="47"/>
            <w:rPr>
              <w:rFonts w:hint="eastAsia"/>
            </w:rPr>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14:paraId="3B19C308">
          <w:pPr>
            <w:pStyle w:val="48"/>
            <w:rPr>
              <w:rFonts w:hint="eastAsia"/>
            </w:rPr>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14:paraId="76F1F968">
          <w:pPr>
            <w:pStyle w:val="49"/>
            <w:rPr>
              <w:rFonts w:hint="eastAsia"/>
            </w:rPr>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14:paraId="39769A35">
          <w:pPr>
            <w:pStyle w:val="50"/>
            <w:rPr>
              <w:rFonts w:hint="eastAsia"/>
            </w:rPr>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14:paraId="376FE2F6">
          <w:pPr>
            <w:pStyle w:val="51"/>
            <w:rPr>
              <w:rFonts w:hint="eastAsia"/>
            </w:rPr>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14:paraId="01EA17AC">
          <w:pPr>
            <w:pStyle w:val="52"/>
            <w:rPr>
              <w:rFonts w:hint="eastAsia"/>
            </w:rPr>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14:paraId="60CCC131">
          <w:pPr>
            <w:pStyle w:val="53"/>
            <w:rPr>
              <w:rFonts w:hint="eastAsia"/>
            </w:rPr>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14:paraId="08CA368E">
          <w:pPr>
            <w:pStyle w:val="54"/>
            <w:rPr>
              <w:rFonts w:hint="eastAsia"/>
            </w:rPr>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14:paraId="59D35B13">
          <w:pPr>
            <w:pStyle w:val="55"/>
            <w:rPr>
              <w:rFonts w:hint="eastAsia"/>
            </w:rPr>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14:paraId="19CB94EB">
          <w:pPr>
            <w:pStyle w:val="56"/>
            <w:rPr>
              <w:rFonts w:hint="eastAsia"/>
            </w:rPr>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14:paraId="02416127">
          <w:pPr>
            <w:pStyle w:val="57"/>
            <w:rPr>
              <w:rFonts w:hint="eastAsia"/>
            </w:rPr>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14:paraId="1DB837CB">
          <w:pPr>
            <w:pStyle w:val="58"/>
            <w:rPr>
              <w:rFonts w:hint="eastAsia"/>
            </w:rPr>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14:paraId="6515A2BF">
          <w:pPr>
            <w:pStyle w:val="59"/>
            <w:rPr>
              <w:rFonts w:hint="eastAsia"/>
            </w:rPr>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14:paraId="08DF36BD">
          <w:pPr>
            <w:pStyle w:val="60"/>
            <w:rPr>
              <w:rFonts w:hint="eastAsia"/>
            </w:rPr>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14:paraId="296E6988">
          <w:pPr>
            <w:pStyle w:val="61"/>
            <w:rPr>
              <w:rFonts w:hint="eastAsia"/>
            </w:rPr>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14:paraId="1E1E09E3">
          <w:pPr>
            <w:pStyle w:val="62"/>
            <w:rPr>
              <w:rFonts w:hint="eastAsia"/>
            </w:rPr>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14:paraId="1F73F88B">
          <w:pPr>
            <w:pStyle w:val="63"/>
            <w:rPr>
              <w:rFonts w:hint="eastAsia"/>
            </w:rPr>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14:paraId="1F786541">
          <w:pPr>
            <w:pStyle w:val="64"/>
            <w:rPr>
              <w:rFonts w:hint="eastAsia"/>
            </w:rPr>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14:paraId="2F098617">
          <w:pPr>
            <w:pStyle w:val="65"/>
            <w:rPr>
              <w:rFonts w:hint="eastAsia"/>
            </w:rPr>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14:paraId="5464CEA1">
          <w:pPr>
            <w:pStyle w:val="66"/>
            <w:rPr>
              <w:rFonts w:hint="eastAsia"/>
            </w:rPr>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14:paraId="1871B2C8">
          <w:pPr>
            <w:pStyle w:val="67"/>
            <w:rPr>
              <w:rFonts w:hint="eastAsia"/>
            </w:rPr>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14:paraId="0CB1F641">
          <w:pPr>
            <w:pStyle w:val="68"/>
            <w:rPr>
              <w:rFonts w:hint="eastAsia"/>
            </w:rPr>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14:paraId="517F3EC3">
          <w:pPr>
            <w:pStyle w:val="69"/>
            <w:rPr>
              <w:rFonts w:hint="eastAsia"/>
            </w:rPr>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14:paraId="680FBA9E">
          <w:pPr>
            <w:pStyle w:val="70"/>
            <w:rPr>
              <w:rFonts w:hint="eastAsia"/>
            </w:rPr>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14:paraId="51D7D82B">
          <w:pPr>
            <w:pStyle w:val="71"/>
            <w:rPr>
              <w:rFonts w:hint="eastAsia"/>
            </w:rPr>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14:paraId="6BE7E0A1">
          <w:pPr>
            <w:pStyle w:val="72"/>
            <w:rPr>
              <w:rFonts w:hint="eastAsia"/>
            </w:rPr>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14:paraId="468FAC85">
          <w:pPr>
            <w:pStyle w:val="73"/>
            <w:rPr>
              <w:rFonts w:hint="eastAsia"/>
            </w:rPr>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14:paraId="48169E32">
          <w:pPr>
            <w:pStyle w:val="74"/>
            <w:rPr>
              <w:rFonts w:hint="eastAsia"/>
            </w:rPr>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14:paraId="5719A149">
          <w:pPr>
            <w:pStyle w:val="75"/>
            <w:rPr>
              <w:rFonts w:hint="eastAsia"/>
            </w:rPr>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14:paraId="0722B68B">
          <w:pPr>
            <w:pStyle w:val="76"/>
            <w:rPr>
              <w:rFonts w:hint="eastAsia"/>
            </w:rPr>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14:paraId="47E5D263">
          <w:pPr>
            <w:pStyle w:val="77"/>
            <w:rPr>
              <w:rFonts w:hint="eastAsia"/>
            </w:rPr>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14:paraId="5C7AA824">
          <w:pPr>
            <w:pStyle w:val="78"/>
            <w:rPr>
              <w:rFonts w:hint="eastAsia"/>
            </w:rPr>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14:paraId="19B1038D">
          <w:pPr>
            <w:pStyle w:val="79"/>
            <w:rPr>
              <w:rFonts w:hint="eastAsia"/>
            </w:rPr>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14:paraId="29FD4CF2">
          <w:pPr>
            <w:pStyle w:val="80"/>
            <w:rPr>
              <w:rFonts w:hint="eastAsia"/>
            </w:rPr>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14:paraId="6FE0CDD5">
          <w:pPr>
            <w:pStyle w:val="81"/>
            <w:rPr>
              <w:rFonts w:hint="eastAsia"/>
            </w:rPr>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14:paraId="45C9F585">
          <w:pPr>
            <w:pStyle w:val="82"/>
            <w:rPr>
              <w:rFonts w:hint="eastAsia"/>
            </w:rPr>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14:paraId="77F4FA4B">
          <w:pPr>
            <w:pStyle w:val="83"/>
            <w:rPr>
              <w:rFonts w:hint="eastAsia"/>
            </w:rPr>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14:paraId="2873414A">
          <w:pPr>
            <w:pStyle w:val="84"/>
            <w:rPr>
              <w:rFonts w:hint="eastAsia"/>
            </w:rPr>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14:paraId="03643ED4">
          <w:pPr>
            <w:pStyle w:val="85"/>
            <w:rPr>
              <w:rFonts w:hint="eastAsia"/>
            </w:rPr>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14:paraId="04BC3902">
          <w:pPr>
            <w:pStyle w:val="86"/>
            <w:rPr>
              <w:rFonts w:hint="eastAsia"/>
            </w:rPr>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14:paraId="2BA62B3F">
          <w:pPr>
            <w:pStyle w:val="87"/>
            <w:rPr>
              <w:rFonts w:hint="eastAsia"/>
            </w:rPr>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14:paraId="7408DF19">
          <w:pPr>
            <w:pStyle w:val="88"/>
            <w:rPr>
              <w:rFonts w:hint="eastAsia"/>
            </w:rPr>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14:paraId="757FE021">
          <w:pPr>
            <w:pStyle w:val="89"/>
            <w:rPr>
              <w:rFonts w:hint="eastAsia"/>
            </w:rPr>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14:paraId="6A647DB1">
          <w:pPr>
            <w:pStyle w:val="90"/>
            <w:rPr>
              <w:rFonts w:hint="eastAsia"/>
            </w:rPr>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14:paraId="17B86CE2">
          <w:pPr>
            <w:pStyle w:val="91"/>
            <w:rPr>
              <w:rFonts w:hint="eastAsia"/>
            </w:rPr>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14:paraId="15534E87">
          <w:pPr>
            <w:pStyle w:val="92"/>
            <w:rPr>
              <w:rFonts w:hint="eastAsia"/>
            </w:rPr>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14:paraId="53CC556F">
          <w:pPr>
            <w:pStyle w:val="93"/>
            <w:rPr>
              <w:rFonts w:hint="eastAsia"/>
            </w:rPr>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14:paraId="67F04C18">
          <w:pPr>
            <w:pStyle w:val="94"/>
            <w:rPr>
              <w:rFonts w:hint="eastAsia"/>
            </w:rPr>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14:paraId="4968D567">
          <w:pPr>
            <w:pStyle w:val="95"/>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3F3E0E"/>
    <w:rsid w:val="00684E1F"/>
    <w:rsid w:val="007A321D"/>
    <w:rsid w:val="007A7D93"/>
    <w:rsid w:val="00B04CB1"/>
    <w:rsid w:val="00F1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70CA31EFD0E4DCA93F78F32EFFF7F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5F31FE91954574BFA3038D10157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577190927024459A2C650430DBE87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C8AE68A66FF4205A25023054443A7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5EE60BD536284A20B7BA82DC345945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1F6A885A37E4DDF8C66138760E2D2B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70FFD5F26C44C1B85CC3F36401096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56AF7615CBCD41A38F8AAB33ECD19E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AEE78686078E4F3A863B6770A3A027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BD948B4922AF4FE484C54F6AD81D7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310816CC892F44D2B71A8297C495F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543B33B922044A81A6C8CABF3F8BFD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77C910AA794428A9A7B7B2015F40E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66B68A544D144FF82C9BED4D68B300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892A309CD496454D8F8E2919F2D9ED8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79818EAD0ED94C1AA1340D43CA5236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E32EE494678243D1B019626DC5C781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D1ED1FC882545AC907322B163B897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3E41DD04A494DE882C2AFCBDA9F11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C7810919AB444FEBBC6644A606ED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C1A5704782B54DC0ACDBC553CE4CB0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53EB5B8202974B9A8A74395C25D34A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729AE8FBF5A548A99203239944E215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C782E886E4247DD97325E9B7FA4F1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84F4EF84FD4C4C93B5F653FDDAAED3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010263FD9CD7441D8635E242F6401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9C0B593549549F5B51EEF040B70B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9AE1940E9AFA45738522F27981A504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6A80A51D60A2406E8F0E6889E26F43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49CCF09F6E8347D9989EF4312BE430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37F51EA01B34479EAC06BB24B938B2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353D021C8F4F413D80123F199F7F0C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118E83DA2AC64D838309D4210F6431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64571B0A13EA4D4691307BE03FA7F73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36907E252BEE4A51BCB4E78EDA8F0E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86BD837AEA3544EEAC851B8ACCAFCD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87491C0D0B2E45EF82639ACFE2FA61C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1FE72702B113435F896C622B447DF10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869D40A31854793B30FC43C7D928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FD0EAB12934644619744259158C3BB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991A502879A7432BAB97B5A52A1880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46445C36E4A14F0195553493784C947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0AF63A03B7DC43DDA82E74F03B2B76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7830560185DC4893B8233F1B7C9F61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18D19BF21E6D402AB1D34F826DBC8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B88918157A554A5CA8D64055D7152E2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C525C38554944878BFE6B4BED49DB9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52BB0D7EF14E4EDA8427A8694F03B3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5EEB8A067697467ABCB857E17E6F5E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F8F5398D492E427F80A170DBB7B41E2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672</Characters>
  <Lines>10</Lines>
  <Paragraphs>2</Paragraphs>
  <TotalTime>5</TotalTime>
  <ScaleCrop>false</ScaleCrop>
  <LinksUpToDate>false</LinksUpToDate>
  <CharactersWithSpaces>1040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李宁</cp:lastModifiedBy>
  <dcterms:modified xsi:type="dcterms:W3CDTF">2026-03-26T05:02:54Z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A55FE7FE9146453188453F1670F4BD6C_12</vt:lpwstr>
  </property>
</Properties>
</file>