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416FB8">
      <w:pPr>
        <w:pStyle w:val="3"/>
        <w:rPr>
          <w:rFonts w:eastAsiaTheme="minorEastAsia"/>
          <w:sz w:val="24"/>
          <w:szCs w:val="40"/>
        </w:rPr>
      </w:pPr>
      <w:r>
        <w:rPr>
          <w:rFonts w:eastAsiaTheme="minorEastAsia"/>
          <w:sz w:val="24"/>
          <w:szCs w:val="40"/>
        </w:rPr>
        <w:t>4.2.8</w:t>
      </w:r>
      <w:r>
        <w:rPr>
          <w:rFonts w:hint="eastAsia" w:eastAsiaTheme="minorEastAsia"/>
          <w:sz w:val="24"/>
          <w:szCs w:val="40"/>
        </w:rPr>
        <w:t xml:space="preserve"> </w:t>
      </w:r>
      <w:r>
        <w:rPr>
          <w:rFonts w:eastAsiaTheme="minorEastAsia"/>
          <w:sz w:val="24"/>
          <w:szCs w:val="40"/>
        </w:rPr>
        <w:t>提高建筑结构材料的耐久性。（10分）</w:t>
      </w:r>
    </w:p>
    <w:p w14:paraId="7D67B4AA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490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992"/>
        <w:gridCol w:w="4396"/>
        <w:gridCol w:w="1132"/>
        <w:gridCol w:w="1134"/>
      </w:tblGrid>
      <w:tr w14:paraId="4FB2DE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4" w:type="pct"/>
            <w:vAlign w:val="center"/>
          </w:tcPr>
          <w:p w14:paraId="0E8AE14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序号</w:t>
            </w:r>
          </w:p>
        </w:tc>
        <w:tc>
          <w:tcPr>
            <w:tcW w:w="3221" w:type="pct"/>
            <w:gridSpan w:val="2"/>
            <w:vAlign w:val="center"/>
          </w:tcPr>
          <w:p w14:paraId="00F0726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评价内容</w:t>
            </w:r>
          </w:p>
        </w:tc>
        <w:tc>
          <w:tcPr>
            <w:tcW w:w="677" w:type="pct"/>
            <w:vAlign w:val="center"/>
          </w:tcPr>
          <w:p w14:paraId="2362841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评价分值</w:t>
            </w:r>
          </w:p>
        </w:tc>
        <w:tc>
          <w:tcPr>
            <w:tcW w:w="678" w:type="pct"/>
            <w:vAlign w:val="center"/>
          </w:tcPr>
          <w:p w14:paraId="1571F43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自评得分</w:t>
            </w:r>
          </w:p>
        </w:tc>
      </w:tr>
      <w:tr w14:paraId="70E41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4" w:type="pct"/>
            <w:vAlign w:val="center"/>
          </w:tcPr>
          <w:p w14:paraId="1C0DAD2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221" w:type="pct"/>
            <w:gridSpan w:val="2"/>
            <w:vAlign w:val="center"/>
          </w:tcPr>
          <w:p w14:paraId="53B85D3A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t>☑</w:t>
            </w:r>
            <w:r>
              <w:rPr>
                <w:rFonts w:ascii="Times New Roman" w:hAnsi="Times New Roman" w:cs="Times New Roman"/>
                <w:szCs w:val="21"/>
              </w:rPr>
              <w:t>按100年进行耐久性设计</w:t>
            </w:r>
          </w:p>
        </w:tc>
        <w:tc>
          <w:tcPr>
            <w:tcW w:w="677" w:type="pct"/>
            <w:vAlign w:val="center"/>
          </w:tcPr>
          <w:p w14:paraId="62DD4C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</w:t>
            </w:r>
          </w:p>
        </w:tc>
        <w:sdt>
          <w:sdtPr>
            <w:rPr>
              <w:rFonts w:ascii="Times New Roman" w:hAnsi="Times New Roman" w:eastAsia="宋体" w:cs="Times New Roman"/>
              <w:szCs w:val="21"/>
            </w:rPr>
            <w:id w:val="315151401"/>
            <w:placeholder>
              <w:docPart w:val="DD9E5F2402EE43EF8A233D21D3370CD1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678" w:type="pct"/>
                <w:vMerge w:val="restart"/>
                <w:vAlign w:val="center"/>
              </w:tcPr>
              <w:p w14:paraId="5EC9703F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10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  <w:tr w14:paraId="3C0CA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4" w:type="pct"/>
            <w:vMerge w:val="restart"/>
            <w:vAlign w:val="center"/>
          </w:tcPr>
          <w:p w14:paraId="794992D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593" w:type="pct"/>
            <w:vMerge w:val="restart"/>
            <w:vAlign w:val="center"/>
          </w:tcPr>
          <w:p w14:paraId="16946E0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t>☑</w:t>
            </w:r>
            <w:r>
              <w:rPr>
                <w:rFonts w:ascii="Times New Roman" w:hAnsi="Times New Roman" w:cs="Times New Roman"/>
                <w:szCs w:val="21"/>
              </w:rPr>
              <w:t>采用耐久性能好的建筑结构材料</w:t>
            </w:r>
          </w:p>
        </w:tc>
        <w:tc>
          <w:tcPr>
            <w:tcW w:w="2628" w:type="pct"/>
            <w:vAlign w:val="center"/>
          </w:tcPr>
          <w:p w14:paraId="574D9D24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t>☑</w:t>
            </w:r>
            <w:r>
              <w:rPr>
                <w:rFonts w:ascii="Times New Roman" w:hAnsi="Times New Roman" w:cs="Times New Roman"/>
                <w:szCs w:val="21"/>
              </w:rPr>
              <w:t>混凝土构件，提高钢筋保护层厚度或采用高耐久性混凝土</w:t>
            </w:r>
          </w:p>
        </w:tc>
        <w:tc>
          <w:tcPr>
            <w:tcW w:w="677" w:type="pct"/>
            <w:vMerge w:val="restart"/>
            <w:vAlign w:val="center"/>
          </w:tcPr>
          <w:p w14:paraId="57925A6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678" w:type="pct"/>
            <w:vMerge w:val="continue"/>
            <w:vAlign w:val="center"/>
          </w:tcPr>
          <w:p w14:paraId="24A3D41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14:paraId="650CF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4" w:type="pct"/>
            <w:vMerge w:val="continue"/>
            <w:vAlign w:val="center"/>
          </w:tcPr>
          <w:p w14:paraId="4D8A9D4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3" w:type="pct"/>
            <w:vMerge w:val="continue"/>
            <w:vAlign w:val="center"/>
          </w:tcPr>
          <w:p w14:paraId="59C05EB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628" w:type="pct"/>
            <w:vAlign w:val="center"/>
          </w:tcPr>
          <w:p w14:paraId="43FDAB74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□</w:t>
            </w:r>
            <w:r>
              <w:rPr>
                <w:rFonts w:ascii="Times New Roman" w:hAnsi="Times New Roman" w:cs="Times New Roman"/>
                <w:szCs w:val="21"/>
              </w:rPr>
              <w:t>钢构件，采用耐候结构钢</w:t>
            </w:r>
            <w:r>
              <w:rPr>
                <w:rFonts w:hint="eastAsia" w:ascii="Times New Roman" w:hAnsi="Times New Roman" w:cs="Times New Roman"/>
                <w:szCs w:val="21"/>
              </w:rPr>
              <w:t>或</w:t>
            </w:r>
            <w:r>
              <w:rPr>
                <w:rFonts w:ascii="Times New Roman" w:hAnsi="Times New Roman" w:cs="Times New Roman"/>
                <w:szCs w:val="21"/>
              </w:rPr>
              <w:t>耐候性防腐涂料</w:t>
            </w:r>
          </w:p>
        </w:tc>
        <w:tc>
          <w:tcPr>
            <w:tcW w:w="677" w:type="pct"/>
            <w:vMerge w:val="continue"/>
            <w:vAlign w:val="center"/>
          </w:tcPr>
          <w:p w14:paraId="75A764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78" w:type="pct"/>
            <w:vMerge w:val="continue"/>
            <w:vAlign w:val="center"/>
          </w:tcPr>
          <w:p w14:paraId="31C170B1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14:paraId="07C2B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4" w:type="pct"/>
            <w:vMerge w:val="continue"/>
            <w:vAlign w:val="center"/>
          </w:tcPr>
          <w:p w14:paraId="3EAD23B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3" w:type="pct"/>
            <w:vMerge w:val="continue"/>
            <w:vAlign w:val="center"/>
          </w:tcPr>
          <w:p w14:paraId="134025A2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628" w:type="pct"/>
            <w:vAlign w:val="center"/>
          </w:tcPr>
          <w:p w14:paraId="1EF07EE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□</w:t>
            </w:r>
            <w:r>
              <w:rPr>
                <w:rFonts w:ascii="Times New Roman" w:hAnsi="Times New Roman" w:cs="Times New Roman"/>
                <w:szCs w:val="21"/>
              </w:rPr>
              <w:t>木构件，采用防腐木材、耐久木材或耐久木制品</w:t>
            </w:r>
          </w:p>
        </w:tc>
        <w:tc>
          <w:tcPr>
            <w:tcW w:w="677" w:type="pct"/>
            <w:vMerge w:val="continue"/>
            <w:vAlign w:val="center"/>
          </w:tcPr>
          <w:p w14:paraId="0B40857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78" w:type="pct"/>
            <w:vMerge w:val="continue"/>
            <w:vAlign w:val="center"/>
          </w:tcPr>
          <w:p w14:paraId="454BCB4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54464D95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tbl>
      <w:tblPr>
        <w:tblStyle w:val="6"/>
        <w:tblW w:w="46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6"/>
        <w:gridCol w:w="4128"/>
      </w:tblGrid>
      <w:tr w14:paraId="39C33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1" w:type="pct"/>
          </w:tcPr>
          <w:p w14:paraId="281B385A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类型</w:t>
            </w:r>
          </w:p>
        </w:tc>
        <w:tc>
          <w:tcPr>
            <w:tcW w:w="2578" w:type="pct"/>
          </w:tcPr>
          <w:p w14:paraId="374DABC3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项目情况</w:t>
            </w:r>
          </w:p>
        </w:tc>
      </w:tr>
      <w:tr w14:paraId="0059C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1" w:type="pct"/>
          </w:tcPr>
          <w:p w14:paraId="10B76D7D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建筑结构设计年限</w:t>
            </w:r>
          </w:p>
        </w:tc>
        <w:tc>
          <w:tcPr>
            <w:tcW w:w="2578" w:type="pct"/>
          </w:tcPr>
          <w:p w14:paraId="67F014C5">
            <w:pP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100年</w:t>
            </w:r>
          </w:p>
        </w:tc>
      </w:tr>
      <w:tr w14:paraId="3867D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1" w:type="pct"/>
          </w:tcPr>
          <w:p w14:paraId="0FC97A4D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建筑结构材料</w:t>
            </w:r>
          </w:p>
        </w:tc>
        <w:tc>
          <w:tcPr>
            <w:tcW w:w="2578" w:type="pct"/>
          </w:tcPr>
          <w:p w14:paraId="3F659DE9">
            <w:pPr>
              <w:rPr>
                <w:rFonts w:ascii="Times New Roman" w:hAnsi="Times New Roman" w:eastAsia="宋体" w:cs="Times New Roman"/>
                <w:szCs w:val="21"/>
              </w:rPr>
            </w:pPr>
            <w:sdt>
              <w:sdtPr>
                <w:rPr>
                  <w:rFonts w:hint="eastAsia"/>
                  <w:sz w:val="28"/>
                </w:rPr>
                <w:id w:val="1721631967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>
                <w:rPr>
                  <w:rFonts w:hint="eastAsia"/>
                  <w:sz w:val="28"/>
                </w:rPr>
              </w:sdtEndPr>
              <w:sdtContent>
                <w:r>
                  <w:rPr>
                    <w:rFonts w:hint="eastAsia" w:ascii="Wingdings 2" w:hAnsi="Wingdings 2" w:eastAsiaTheme="minorEastAsia" w:cstheme="minorBidi"/>
                    <w:kern w:val="2"/>
                    <w:sz w:val="28"/>
                    <w:szCs w:val="22"/>
                    <w:lang w:val="en-US" w:eastAsia="zh-CN" w:bidi="ar-SA"/>
                  </w:rPr>
                  <w:t>R</w:t>
                </w:r>
              </w:sdtContent>
            </w:sdt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混凝土 </w:t>
            </w:r>
            <w:sdt>
              <w:sdtPr>
                <w:rPr>
                  <w:rFonts w:hint="eastAsia"/>
                  <w:sz w:val="28"/>
                </w:rPr>
                <w:id w:val="1121661182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>
                <w:rPr>
                  <w:rFonts w:hint="eastAsia"/>
                  <w:sz w:val="28"/>
                </w:rPr>
              </w:sdtEndPr>
              <w:sdtContent>
                <w:r>
                  <w:rPr>
                    <w:rFonts w:hint="eastAsia"/>
                    <w:sz w:val="28"/>
                  </w:rPr>
                  <w:sym w:font="Wingdings 2" w:char="F0A3"/>
                </w:r>
              </w:sdtContent>
            </w:sdt>
            <w:r>
              <w:rPr>
                <w:rFonts w:ascii="Times New Roman" w:hAnsi="Times New Roman" w:eastAsia="宋体" w:cs="Times New Roman"/>
                <w:szCs w:val="21"/>
              </w:rPr>
              <w:t>钢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</w:t>
            </w:r>
            <w:sdt>
              <w:sdtPr>
                <w:rPr>
                  <w:rFonts w:hint="eastAsia"/>
                  <w:sz w:val="28"/>
                </w:rPr>
                <w:id w:val="-612906943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>
                <w:rPr>
                  <w:rFonts w:hint="eastAsia"/>
                  <w:sz w:val="28"/>
                </w:rPr>
              </w:sdtEndPr>
              <w:sdtContent>
                <w:r>
                  <w:rPr>
                    <w:rFonts w:hint="eastAsia"/>
                    <w:sz w:val="28"/>
                  </w:rPr>
                  <w:sym w:font="Wingdings 2" w:char="F0A3"/>
                </w:r>
              </w:sdtContent>
            </w:sdt>
            <w:r>
              <w:rPr>
                <w:rFonts w:ascii="Times New Roman" w:hAnsi="Times New Roman" w:eastAsia="宋体" w:cs="Times New Roman"/>
                <w:szCs w:val="21"/>
              </w:rPr>
              <w:t>木</w:t>
            </w:r>
          </w:p>
        </w:tc>
      </w:tr>
      <w:tr w14:paraId="2212B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1" w:type="pct"/>
          </w:tcPr>
          <w:p w14:paraId="0284194A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钢筋保护层</w:t>
            </w:r>
            <w:r>
              <w:rPr>
                <w:rFonts w:ascii="Times New Roman" w:hAnsi="Times New Roman" w:eastAsia="宋体" w:cs="Times New Roman"/>
                <w:szCs w:val="21"/>
              </w:rPr>
              <w:t>厚度</w:t>
            </w:r>
          </w:p>
        </w:tc>
        <w:tc>
          <w:tcPr>
            <w:tcW w:w="2578" w:type="pct"/>
          </w:tcPr>
          <w:p w14:paraId="20CAE07C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梁、柱：≥40mm；板、墙：≥25mm（按100年设计年限提高一级）</w:t>
            </w:r>
          </w:p>
        </w:tc>
      </w:tr>
      <w:tr w14:paraId="61304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1" w:type="pct"/>
          </w:tcPr>
          <w:p w14:paraId="43C92379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是否</w:t>
            </w:r>
            <w:r>
              <w:rPr>
                <w:rFonts w:ascii="Times New Roman" w:hAnsi="Times New Roman" w:eastAsia="宋体" w:cs="Times New Roman"/>
                <w:szCs w:val="21"/>
              </w:rPr>
              <w:t>采用高耐久性混凝土</w:t>
            </w:r>
          </w:p>
        </w:tc>
        <w:tc>
          <w:tcPr>
            <w:tcW w:w="2578" w:type="pct"/>
          </w:tcPr>
          <w:p w14:paraId="1662A3BD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是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采用C40以上高耐久性混凝土，最大水胶比≤0.40，抗渗等级P10，氯离子扩散系数≤4.0×10⁻¹²m²/s</w:t>
            </w:r>
          </w:p>
        </w:tc>
      </w:tr>
      <w:tr w14:paraId="480F4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1" w:type="pct"/>
          </w:tcPr>
          <w:p w14:paraId="143E6707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是否</w:t>
            </w:r>
            <w:r>
              <w:rPr>
                <w:rFonts w:ascii="Times New Roman" w:hAnsi="Times New Roman" w:eastAsia="宋体" w:cs="Times New Roman"/>
                <w:szCs w:val="21"/>
              </w:rPr>
              <w:t>采用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耐候结构钢或耐候性防腐涂料</w:t>
            </w:r>
          </w:p>
        </w:tc>
        <w:tc>
          <w:tcPr>
            <w:tcW w:w="2578" w:type="pct"/>
          </w:tcPr>
          <w:p w14:paraId="390320D4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是，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外露钢结构采用耐候结构钢（Q355NH）或涂刷长效型重防腐涂料，涂层厚度≥250μm，防腐年限≥25年</w:t>
            </w:r>
          </w:p>
        </w:tc>
      </w:tr>
      <w:tr w14:paraId="47E70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1" w:type="pct"/>
          </w:tcPr>
          <w:p w14:paraId="0C66C3AC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是否</w:t>
            </w:r>
            <w:r>
              <w:rPr>
                <w:rFonts w:ascii="Times New Roman" w:hAnsi="Times New Roman" w:eastAsia="宋体" w:cs="Times New Roman"/>
                <w:szCs w:val="21"/>
              </w:rPr>
              <w:t>采用耐久木制品</w:t>
            </w:r>
          </w:p>
        </w:tc>
        <w:tc>
          <w:tcPr>
            <w:tcW w:w="2578" w:type="pct"/>
          </w:tcPr>
          <w:p w14:paraId="5D6D5F1F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是，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木结构构件采用防腐、防虫处理的耐久木制品，木材经阻燃及防腐真空加压处理，含水率控制在12%~15%，满足100年设计使用年限要求</w:t>
            </w:r>
          </w:p>
        </w:tc>
      </w:tr>
    </w:tbl>
    <w:p w14:paraId="04F4E95D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请</w:t>
      </w:r>
      <w:r>
        <w:rPr>
          <w:rFonts w:ascii="Times New Roman" w:hAnsi="Times New Roman" w:eastAsia="宋体" w:cs="Times New Roman"/>
          <w:szCs w:val="21"/>
        </w:rPr>
        <w:t>简要说明</w:t>
      </w:r>
      <w:r>
        <w:rPr>
          <w:rFonts w:hint="eastAsia" w:ascii="Times New Roman" w:hAnsi="Times New Roman" w:eastAsia="宋体" w:cs="Times New Roman"/>
          <w:szCs w:val="21"/>
        </w:rPr>
        <w:t>提高建筑结构材料耐久性的设计内容和落实情况：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0A56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  <w:jc w:val="center"/>
        </w:trPr>
        <w:tc>
          <w:tcPr>
            <w:tcW w:w="9356" w:type="dxa"/>
          </w:tcPr>
          <w:p w14:paraId="42A936BA">
            <w:pPr>
              <w:ind w:firstLine="400" w:firstLineChars="200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结合本项目实际，通过对比本工程宜采用静压预应力管桩基础形式，以强风化及以下岩层作为持力层，以达到经济合理节材效果；教室、体育馆均需大开间布置，框架结构较剪力墙结构更适合用于楼层低、大开间建筑，功能布置灵活，且对于楼层较低的建筑，框架结构较剪力墙结构建设成本更低；根据不同板跨设置不同板厚，充分利用板底钢筋承载能力，钢筋均采用HRB400。</w:t>
            </w:r>
          </w:p>
        </w:tc>
      </w:tr>
    </w:tbl>
    <w:p w14:paraId="13B7F611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1367AD8A">
      <w:pPr>
        <w:spacing w:line="280" w:lineRule="exac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0B7945ED">
      <w:pPr>
        <w:spacing w:line="280" w:lineRule="exac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1）建筑</w:t>
      </w:r>
      <w:r>
        <w:rPr>
          <w:rFonts w:ascii="Times New Roman" w:hAnsi="Times New Roman" w:eastAsia="宋体" w:cs="Times New Roman"/>
          <w:szCs w:val="21"/>
        </w:rPr>
        <w:t>、结构设计</w:t>
      </w:r>
      <w:r>
        <w:rPr>
          <w:rFonts w:hint="eastAsia" w:ascii="Times New Roman" w:hAnsi="Times New Roman" w:eastAsia="宋体" w:cs="Times New Roman"/>
          <w:szCs w:val="21"/>
        </w:rPr>
        <w:t>竣工图：</w:t>
      </w:r>
      <w:r>
        <w:rPr>
          <w:rFonts w:ascii="Times New Roman" w:hAnsi="Times New Roman" w:eastAsia="宋体" w:cs="Times New Roman"/>
          <w:szCs w:val="21"/>
        </w:rPr>
        <w:t>应</w:t>
      </w:r>
      <w:r>
        <w:rPr>
          <w:rFonts w:hint="eastAsia" w:ascii="Times New Roman" w:hAnsi="Times New Roman" w:eastAsia="宋体" w:cs="Times New Roman"/>
          <w:szCs w:val="21"/>
        </w:rPr>
        <w:t>注明</w:t>
      </w:r>
      <w:r>
        <w:rPr>
          <w:rFonts w:ascii="Times New Roman" w:hAnsi="Times New Roman" w:eastAsia="宋体" w:cs="Times New Roman"/>
          <w:szCs w:val="21"/>
        </w:rPr>
        <w:t>本项目采用的高性能材料的类别及</w:t>
      </w:r>
      <w:r>
        <w:rPr>
          <w:rFonts w:hint="eastAsia" w:ascii="Times New Roman" w:hAnsi="Times New Roman" w:eastAsia="宋体" w:cs="Times New Roman"/>
          <w:szCs w:val="21"/>
        </w:rPr>
        <w:t>范围或</w:t>
      </w:r>
      <w:r>
        <w:rPr>
          <w:rFonts w:ascii="Times New Roman" w:hAnsi="Times New Roman" w:eastAsia="宋体" w:cs="Times New Roman"/>
          <w:szCs w:val="21"/>
        </w:rPr>
        <w:t>耐候结构钢、耐候型</w:t>
      </w:r>
      <w:r>
        <w:rPr>
          <w:rFonts w:hint="eastAsia" w:ascii="Times New Roman" w:hAnsi="Times New Roman" w:eastAsia="宋体" w:cs="Times New Roman"/>
          <w:szCs w:val="21"/>
        </w:rPr>
        <w:t>防腐</w:t>
      </w:r>
      <w:r>
        <w:rPr>
          <w:rFonts w:ascii="Times New Roman" w:hAnsi="Times New Roman" w:eastAsia="宋体" w:cs="Times New Roman"/>
          <w:szCs w:val="21"/>
        </w:rPr>
        <w:t>涂料的采用情况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 w14:paraId="467C50D1">
      <w:pPr>
        <w:spacing w:line="280" w:lineRule="exac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2）耐久性好的建筑结构材料使用情况统计，应提供相关产品说明、检测报告以及建筑结构材料的决算清单；</w:t>
      </w:r>
    </w:p>
    <w:p w14:paraId="2A3532DA">
      <w:pPr>
        <w:spacing w:line="280" w:lineRule="exac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3）项目运行使用中的维护管理记录。</w:t>
      </w:r>
    </w:p>
    <w:p w14:paraId="17C31A27">
      <w:pPr>
        <w:spacing w:line="280" w:lineRule="exact"/>
        <w:rPr>
          <w:rFonts w:hint="eastAsia" w:ascii="Times New Roman" w:hAnsi="Times New Roman" w:eastAsia="宋体" w:cs="Times New Roman"/>
          <w:szCs w:val="21"/>
        </w:rPr>
      </w:pPr>
    </w:p>
    <w:p w14:paraId="55EC8F44">
      <w:pPr>
        <w:widowControl/>
        <w:spacing w:line="280" w:lineRule="exact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9FB3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42" w:hRule="atLeast"/>
          <w:jc w:val="center"/>
        </w:trPr>
        <w:tc>
          <w:tcPr>
            <w:tcW w:w="9356" w:type="dxa"/>
          </w:tcPr>
          <w:p w14:paraId="6F40F4C6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271135" cy="2473960"/>
                  <wp:effectExtent l="0" t="0" r="12065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247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2691D8E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5EE"/>
    <w:rsid w:val="00074A38"/>
    <w:rsid w:val="00355D41"/>
    <w:rsid w:val="0043517B"/>
    <w:rsid w:val="004E4D60"/>
    <w:rsid w:val="00706AA5"/>
    <w:rsid w:val="009E7539"/>
    <w:rsid w:val="00AD2F8A"/>
    <w:rsid w:val="00B31271"/>
    <w:rsid w:val="00B87999"/>
    <w:rsid w:val="00C850C3"/>
    <w:rsid w:val="00C93417"/>
    <w:rsid w:val="00CC1072"/>
    <w:rsid w:val="00D44495"/>
    <w:rsid w:val="00E255EE"/>
    <w:rsid w:val="00EA2D70"/>
    <w:rsid w:val="1E7D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4 字符"/>
    <w:basedOn w:val="8"/>
    <w:link w:val="3"/>
    <w:qFormat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uiPriority w:val="99"/>
    <w:rPr>
      <w:color w:val="808080"/>
    </w:rPr>
  </w:style>
  <w:style w:type="table" w:customStyle="1" w:styleId="13">
    <w:name w:val="网格型1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qFormat/>
    <w:uiPriority w:val="1"/>
    <w:rPr>
      <w:rFonts w:eastAsiaTheme="minorEastAsia"/>
      <w:sz w:val="21"/>
    </w:rPr>
  </w:style>
  <w:style w:type="character" w:customStyle="1" w:styleId="15">
    <w:name w:val="标题 3 字符"/>
    <w:basedOn w:val="8"/>
    <w:link w:val="2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DD9E5F2402EE43EF8A233D21D3370CD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B17E525-182A-4F1E-B47E-0DC4FAC03A1E}"/>
      </w:docPartPr>
      <w:docPartBody>
        <w:p w14:paraId="7CB4BF65">
          <w:pPr>
            <w:pStyle w:val="5"/>
            <w:rPr>
              <w:rFonts w:hint="eastAsia"/>
            </w:rPr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107"/>
    <w:rsid w:val="000E7C16"/>
    <w:rsid w:val="0020310A"/>
    <w:rsid w:val="009A79BE"/>
    <w:rsid w:val="00B87999"/>
    <w:rsid w:val="00BA7107"/>
    <w:rsid w:val="00CA61A0"/>
    <w:rsid w:val="00D26478"/>
    <w:rsid w:val="00D44495"/>
    <w:rsid w:val="00D7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  <w:style w:type="paragraph" w:customStyle="1" w:styleId="5">
    <w:name w:val="DD9E5F2402EE43EF8A233D21D3370CD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541</Words>
  <Characters>555</Characters>
  <Lines>4</Lines>
  <Paragraphs>1</Paragraphs>
  <TotalTime>25</TotalTime>
  <ScaleCrop>false</ScaleCrop>
  <LinksUpToDate>false</LinksUpToDate>
  <CharactersWithSpaces>563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2019-07-12T07:46:00Z</dcterms:created>
  <dc:creator>dongYP</dc:creator>
  <cp:lastModifiedBy>妖精的口袋</cp:lastModifiedBy>
  <dcterms:modified xsi:type="dcterms:W3CDTF">2026-03-27T09:55:35Z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eyJoZGlkIjoiMTdmMGYzN2JlNDk2MTMwN2QyNWUxODIxNmM3YWJlYjAiLCJ1c2VySWQiOiI2MzUxMDcwMDYifQ==</vt:lpwstr>
  </property>
  <property fmtid="{D5CDD505-2E9C-101B-9397-08002B2CF9AE}" pid="3" name="KSOProductBuildVer">
    <vt:lpwstr>2052-12.1.0.25225</vt:lpwstr>
  </property>
  <property fmtid="{D5CDD505-2E9C-101B-9397-08002B2CF9AE}" pid="4" name="ICV">
    <vt:lpwstr>299703A514154433A6E03871AD2AA911_12</vt:lpwstr>
  </property>
</Properties>
</file>