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58EF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充分利用天然光。（12分）</w:t>
      </w:r>
    </w:p>
    <w:p w14:paraId="3A41A8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63"/>
        <w:gridCol w:w="3187"/>
        <w:gridCol w:w="1533"/>
        <w:gridCol w:w="1300"/>
      </w:tblGrid>
      <w:tr w14:paraId="377C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 w14:paraId="03E49B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0" w:type="dxa"/>
            <w:gridSpan w:val="2"/>
            <w:vAlign w:val="center"/>
          </w:tcPr>
          <w:p w14:paraId="743236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455008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2A5C7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D24C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08" w:type="dxa"/>
            <w:vAlign w:val="center"/>
          </w:tcPr>
          <w:p w14:paraId="34E116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0" w:type="dxa"/>
            <w:gridSpan w:val="2"/>
            <w:vAlign w:val="center"/>
          </w:tcPr>
          <w:p w14:paraId="3A2C518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住宅建筑：主要功能空间至少60%面积比例区域采光照度值不低于300lx的小时数平均不少于8h/d</w:t>
            </w:r>
          </w:p>
        </w:tc>
        <w:tc>
          <w:tcPr>
            <w:tcW w:w="1533" w:type="dxa"/>
            <w:vAlign w:val="center"/>
          </w:tcPr>
          <w:p w14:paraId="513FB9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14CE65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129A3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restart"/>
            <w:vAlign w:val="center"/>
          </w:tcPr>
          <w:p w14:paraId="17DA78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333BB9B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7" w:type="dxa"/>
            <w:vAlign w:val="center"/>
          </w:tcPr>
          <w:p w14:paraId="1550E0DA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内区采光系数满足采光要求的面积比例达到60%</w:t>
            </w:r>
          </w:p>
        </w:tc>
        <w:tc>
          <w:tcPr>
            <w:tcW w:w="1533" w:type="dxa"/>
            <w:vAlign w:val="center"/>
          </w:tcPr>
          <w:p w14:paraId="5ACEBB3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47F1641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380C8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413AEB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0C6E7A26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0550C48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地下空间平均采光系数≥0.5%的面积与首层地下室面积的比例达到10%以上</w:t>
            </w:r>
          </w:p>
        </w:tc>
        <w:tc>
          <w:tcPr>
            <w:tcW w:w="1533" w:type="dxa"/>
            <w:vAlign w:val="center"/>
          </w:tcPr>
          <w:p w14:paraId="0690D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7EEBD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317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08" w:type="dxa"/>
            <w:vMerge w:val="continue"/>
            <w:vAlign w:val="center"/>
          </w:tcPr>
          <w:p w14:paraId="532CD0D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 w:val="continue"/>
            <w:vAlign w:val="center"/>
          </w:tcPr>
          <w:p w14:paraId="7955A4F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7" w:type="dxa"/>
            <w:vAlign w:val="center"/>
          </w:tcPr>
          <w:p w14:paraId="65A6B3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主要功能空间至少60%面积比例区域采光照度值不低于采光要求的小时数平均不少于4h/d</w:t>
            </w:r>
          </w:p>
        </w:tc>
        <w:tc>
          <w:tcPr>
            <w:tcW w:w="1533" w:type="dxa"/>
            <w:vAlign w:val="center"/>
          </w:tcPr>
          <w:p w14:paraId="47414D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300" w:type="dxa"/>
            <w:vMerge w:val="continue"/>
            <w:vAlign w:val="center"/>
          </w:tcPr>
          <w:p w14:paraId="2F59622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563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58" w:type="dxa"/>
            <w:gridSpan w:val="3"/>
            <w:vAlign w:val="center"/>
          </w:tcPr>
          <w:p w14:paraId="108441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3CC337A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00" w:type="dxa"/>
                <w:vAlign w:val="center"/>
              </w:tcPr>
              <w:p w14:paraId="283BB387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31262B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59715DC">
      <w:r>
        <w:rPr>
          <w:rFonts w:hint="eastAsia"/>
        </w:rPr>
        <w:t>采光达标统计</w:t>
      </w:r>
    </w:p>
    <w:tbl>
      <w:tblPr>
        <w:tblStyle w:val="6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62"/>
        <w:gridCol w:w="2268"/>
        <w:gridCol w:w="1860"/>
        <w:gridCol w:w="1986"/>
        <w:gridCol w:w="1357"/>
      </w:tblGrid>
      <w:tr w14:paraId="4517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402E98D3">
            <w:r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56A9B2E3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47409F4F">
            <w:pPr>
              <w:jc w:val="center"/>
            </w:pPr>
            <w:r>
              <w:rPr>
                <w:rFonts w:hint="eastAsia"/>
              </w:rPr>
              <w:t>主要功能空间面积</w:t>
            </w:r>
          </w:p>
          <w:p w14:paraId="152C624F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62C4248C">
            <w:pPr>
              <w:jc w:val="center"/>
            </w:pPr>
            <w:r>
              <w:rPr>
                <w:rFonts w:hint="eastAsia"/>
              </w:rPr>
              <w:t>内区面积</w:t>
            </w:r>
          </w:p>
          <w:p w14:paraId="19BB0360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367D3EA9">
            <w:pPr>
              <w:jc w:val="center"/>
            </w:pPr>
            <w:r>
              <w:rPr>
                <w:rFonts w:hint="eastAsia"/>
              </w:rPr>
              <w:t>采光达标面积</w:t>
            </w:r>
          </w:p>
          <w:p w14:paraId="7DD9A97D">
            <w:pPr>
              <w:jc w:val="center"/>
            </w:pPr>
            <w:r>
              <w:rPr>
                <w:rFonts w:hint="eastAsia"/>
              </w:rPr>
              <w:t>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2482749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2ACC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D27E16A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3DFF68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创意办公区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0A60F9B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20000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4558B50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725955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4800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7DE6B7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80%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7D2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079F6F99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0A88ED8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会议室区域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20DA05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1FCE432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2090299423"/>
            <w:placeholder>
              <w:docPart w:val="DFC48C86A33D437B9E60068BD56BFC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  <w:vAlign w:val="center"/>
              </w:tcPr>
              <w:p w14:paraId="46F376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720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050C66D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80%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ED1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653CC045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66A90F5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数字展厅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7EBDD17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7000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5318EA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327902240"/>
            <w:placeholder>
              <w:docPart w:val="8B32F8681F464DB99280AE486908E4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7DEE628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1680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3D46C3C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80%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</w:tr>
      <w:tr w14:paraId="68FD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716" w:type="dxa"/>
            <w:vMerge w:val="continue"/>
            <w:vAlign w:val="center"/>
          </w:tcPr>
          <w:p w14:paraId="34D1DD8E"/>
        </w:tc>
        <w:tc>
          <w:tcPr>
            <w:tcW w:w="1262" w:type="dxa"/>
            <w:vAlign w:val="center"/>
          </w:tcPr>
          <w:p w14:paraId="722D725D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4895B8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60" w:type="dxa"/>
              </w:tcPr>
              <w:p w14:paraId="348A6DD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3DA5AD3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7200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7F339C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80%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</w:t>
                </w:r>
              </w:p>
            </w:tc>
          </w:sdtContent>
        </w:sdt>
      </w:tr>
      <w:tr w14:paraId="5819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55F38D43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7B7F2531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57C2D18B">
            <w:pPr>
              <w:jc w:val="center"/>
            </w:pPr>
            <w:r>
              <w:rPr>
                <w:rFonts w:hint="eastAsia"/>
              </w:rPr>
              <w:t>采光照度值不低于300lx的小时数平均不少于8h/d面积（m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67EDAE5D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4472311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C9C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54C607C8"/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2" w:type="dxa"/>
              </w:tcPr>
              <w:p w14:paraId="4C2569A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52524DD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3A81BAE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1DEB07E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F46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366D9911"/>
        </w:tc>
        <w:tc>
          <w:tcPr>
            <w:tcW w:w="1262" w:type="dxa"/>
            <w:vAlign w:val="center"/>
          </w:tcPr>
          <w:p w14:paraId="259600D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06ABD00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0858DA7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53C2B27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FBD7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restart"/>
            <w:vAlign w:val="center"/>
          </w:tcPr>
          <w:p w14:paraId="7D6CAA68">
            <w:r>
              <w:rPr>
                <w:rFonts w:hint="eastAsia"/>
              </w:rPr>
              <w:t>公建主要功能空间</w:t>
            </w:r>
          </w:p>
        </w:tc>
        <w:tc>
          <w:tcPr>
            <w:tcW w:w="1262" w:type="dxa"/>
            <w:vAlign w:val="center"/>
          </w:tcPr>
          <w:p w14:paraId="4CD257A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4128" w:type="dxa"/>
            <w:gridSpan w:val="2"/>
            <w:vAlign w:val="center"/>
          </w:tcPr>
          <w:p w14:paraId="3C7AB0D0">
            <w:pPr>
              <w:jc w:val="center"/>
            </w:pPr>
            <w:r>
              <w:rPr>
                <w:rFonts w:hint="eastAsia"/>
              </w:rPr>
              <w:t>采光照度值不低于采光要求的小时数平均不少于8h/d面积（m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49DDE60A">
            <w:pPr>
              <w:jc w:val="center"/>
            </w:pPr>
            <w:r>
              <w:rPr>
                <w:rFonts w:hint="eastAsia"/>
              </w:rPr>
              <w:t>主要功能空间面积（m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60CEFC9A">
            <w:pPr>
              <w:jc w:val="center"/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E6D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  <w:vAlign w:val="center"/>
          </w:tcPr>
          <w:p w14:paraId="6CE3EF1C"/>
        </w:tc>
        <w:tc>
          <w:tcPr>
            <w:tcW w:w="1262" w:type="dxa"/>
            <w:vAlign w:val="center"/>
          </w:tcPr>
          <w:p w14:paraId="7F58FA3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4128" w:type="dxa"/>
            <w:gridSpan w:val="2"/>
            <w:vAlign w:val="center"/>
          </w:tcPr>
          <w:p w14:paraId="1383B8F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986" w:type="dxa"/>
            <w:vAlign w:val="center"/>
          </w:tcPr>
          <w:p w14:paraId="3F5BC35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1357" w:type="dxa"/>
            <w:vAlign w:val="center"/>
          </w:tcPr>
          <w:p w14:paraId="3E625BE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</w:tr>
      <w:tr w14:paraId="6BE3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16" w:type="dxa"/>
            <w:vMerge w:val="restart"/>
          </w:tcPr>
          <w:p w14:paraId="7872500B">
            <w:bookmarkStart w:id="5" w:name="_GoBack"/>
            <w:bookmarkEnd w:id="5"/>
            <w:r>
              <w:rPr>
                <w:rFonts w:hint="eastAsia"/>
                <w:szCs w:val="21"/>
                <w:lang w:val="zh-CN"/>
              </w:rPr>
              <w:t>地下室</w:t>
            </w:r>
          </w:p>
        </w:tc>
        <w:tc>
          <w:tcPr>
            <w:tcW w:w="1262" w:type="dxa"/>
          </w:tcPr>
          <w:p w14:paraId="5475BB7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分析区域</w:t>
            </w:r>
          </w:p>
        </w:tc>
        <w:tc>
          <w:tcPr>
            <w:tcW w:w="4128" w:type="dxa"/>
            <w:gridSpan w:val="2"/>
          </w:tcPr>
          <w:p w14:paraId="43A4CB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首层地下室面积（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986" w:type="dxa"/>
          </w:tcPr>
          <w:p w14:paraId="2415162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采光达标面积（m2）</w:t>
            </w:r>
          </w:p>
        </w:tc>
        <w:tc>
          <w:tcPr>
            <w:tcW w:w="1357" w:type="dxa"/>
          </w:tcPr>
          <w:p w14:paraId="57FEFAA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A8F8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16" w:type="dxa"/>
            <w:vMerge w:val="continue"/>
          </w:tcPr>
          <w:p w14:paraId="28DD75D3"/>
        </w:tc>
        <w:tc>
          <w:tcPr>
            <w:tcW w:w="1262" w:type="dxa"/>
          </w:tcPr>
          <w:p w14:paraId="52FDF6B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4128" w:type="dxa"/>
                <w:gridSpan w:val="2"/>
              </w:tcPr>
              <w:p w14:paraId="73EECD3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6" w:type="dxa"/>
              </w:tcPr>
              <w:p w14:paraId="2B4428D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57" w:type="dxa"/>
              </w:tcPr>
              <w:p w14:paraId="70DFF38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5090CB4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DD2BF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90C5C5D">
      <w:pPr>
        <w:rPr>
          <w:rFonts w:ascii="Times New Roman" w:hAnsi="Times New Roman" w:eastAsia="宋体" w:cs="Times New Roman"/>
          <w:szCs w:val="21"/>
        </w:rPr>
      </w:pPr>
      <w:bookmarkStart w:id="0" w:name="_Toc9945120"/>
      <w:bookmarkStart w:id="1" w:name="_Toc9944696"/>
      <w:bookmarkStart w:id="2" w:name="_Toc9944976"/>
      <w:bookmarkStart w:id="3" w:name="_Toc9945262"/>
      <w:bookmarkStart w:id="4" w:name="_Toc9945403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bookmarkEnd w:id="0"/>
      <w:bookmarkEnd w:id="1"/>
      <w:bookmarkEnd w:id="2"/>
      <w:bookmarkEnd w:id="3"/>
      <w:bookmarkEnd w:id="4"/>
      <w:r>
        <w:rPr>
          <w:rFonts w:ascii="Times New Roman" w:hAnsi="Times New Roman" w:eastAsia="宋体" w:cs="Times New Roman"/>
          <w:szCs w:val="21"/>
        </w:rPr>
        <w:t>建筑专业设计文件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7F0742C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动态采光计算书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43AB18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公共建筑内</w:t>
      </w:r>
      <w:r>
        <w:rPr>
          <w:rFonts w:hint="eastAsia" w:ascii="Times New Roman" w:hAnsi="Times New Roman" w:eastAsia="宋体" w:cs="Times New Roman"/>
          <w:szCs w:val="21"/>
        </w:rPr>
        <w:t>区</w:t>
      </w:r>
      <w:r>
        <w:rPr>
          <w:rFonts w:ascii="Times New Roman" w:hAnsi="Times New Roman" w:eastAsia="宋体" w:cs="Times New Roman"/>
          <w:szCs w:val="21"/>
        </w:rPr>
        <w:t>及地下空间采光系数计算书或检测报告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5D1E21B"/>
    <w:p w14:paraId="2FDBDC22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C7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356" w:type="dxa"/>
          </w:tcPr>
          <w:p w14:paraId="2098D24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7B869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08"/>
    <w:rsid w:val="00074A38"/>
    <w:rsid w:val="000C3401"/>
    <w:rsid w:val="00122B5E"/>
    <w:rsid w:val="0018471E"/>
    <w:rsid w:val="001B6669"/>
    <w:rsid w:val="001D7212"/>
    <w:rsid w:val="00281D00"/>
    <w:rsid w:val="0029135E"/>
    <w:rsid w:val="00295B48"/>
    <w:rsid w:val="00332CCE"/>
    <w:rsid w:val="00333304"/>
    <w:rsid w:val="003F3E0E"/>
    <w:rsid w:val="004028E2"/>
    <w:rsid w:val="0042464C"/>
    <w:rsid w:val="00475088"/>
    <w:rsid w:val="004D55FB"/>
    <w:rsid w:val="006334D1"/>
    <w:rsid w:val="006C6C06"/>
    <w:rsid w:val="00732F8B"/>
    <w:rsid w:val="00783366"/>
    <w:rsid w:val="007A7BF2"/>
    <w:rsid w:val="007C4C3D"/>
    <w:rsid w:val="00973BD2"/>
    <w:rsid w:val="00996A49"/>
    <w:rsid w:val="009A477F"/>
    <w:rsid w:val="00A71BCD"/>
    <w:rsid w:val="00B05DD2"/>
    <w:rsid w:val="00BD0730"/>
    <w:rsid w:val="00D44495"/>
    <w:rsid w:val="00D95C7A"/>
    <w:rsid w:val="00E52908"/>
    <w:rsid w:val="00E535DC"/>
    <w:rsid w:val="00EC62F0"/>
    <w:rsid w:val="00F1088F"/>
    <w:rsid w:val="00F37393"/>
    <w:rsid w:val="00F458F1"/>
    <w:rsid w:val="081C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65F4B2936842CC8F47A8FB7DFFD8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D4FE97-8288-4FD6-A8A1-655A6B79F3F2}"/>
      </w:docPartPr>
      <w:docPartBody>
        <w:p w14:paraId="7DA7DF3C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331CA-3C7A-478B-8523-A12022AE0D4B}"/>
      </w:docPartPr>
      <w:docPartBody>
        <w:p w14:paraId="55B9088E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31877C-185E-401A-BB82-D6EEEEA08E9C}"/>
      </w:docPartPr>
      <w:docPartBody>
        <w:p w14:paraId="29877330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AF43-36C3-4886-A854-E4784D6FD357}"/>
      </w:docPartPr>
      <w:docPartBody>
        <w:p w14:paraId="5656BD07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4393B-B6F5-464A-920B-EEE443B2C89C}"/>
      </w:docPartPr>
      <w:docPartBody>
        <w:p w14:paraId="18A937DC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D0FC52-D1A7-4103-8268-96C9316F83CF}"/>
      </w:docPartPr>
      <w:docPartBody>
        <w:p w14:paraId="14F10CA0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BB7670-6A01-4FAC-AC27-021918748E7C}"/>
      </w:docPartPr>
      <w:docPartBody>
        <w:p w14:paraId="7C4F11D3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C3DF3-8432-4860-B475-43404AD02653}"/>
      </w:docPartPr>
      <w:docPartBody>
        <w:p w14:paraId="4089CC85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816966-0F15-47ED-9727-F8802EBAE9F5}"/>
      </w:docPartPr>
      <w:docPartBody>
        <w:p w14:paraId="67045EC7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5A9386-2817-476E-A2B9-495C93FE3F43}"/>
      </w:docPartPr>
      <w:docPartBody>
        <w:p w14:paraId="01B54E1F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094290-B26B-4789-8249-82C232E37D33}"/>
      </w:docPartPr>
      <w:docPartBody>
        <w:p w14:paraId="6D995130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97088-DF0D-4927-ACD1-B11BFBD8DCFC}"/>
      </w:docPartPr>
      <w:docPartBody>
        <w:p w14:paraId="17ADC858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5B2FB3-872B-41DC-94AD-E03E8FB5EA93}"/>
      </w:docPartPr>
      <w:docPartBody>
        <w:p w14:paraId="2C92205A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781226-C540-4718-B6ED-5915BC6ACB71}"/>
      </w:docPartPr>
      <w:docPartBody>
        <w:p w14:paraId="73C8A8AE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4AC0E-002E-4600-AF13-05B087472863}"/>
      </w:docPartPr>
      <w:docPartBody>
        <w:p w14:paraId="058085A9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103EF-4D54-4250-B25A-7F0DA63C4E1F}"/>
      </w:docPartPr>
      <w:docPartBody>
        <w:p w14:paraId="3F468248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C650E2-87C9-4FCC-876A-176006FF02CE}"/>
      </w:docPartPr>
      <w:docPartBody>
        <w:p w14:paraId="75ABFF25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75498C-BD6C-4F41-B108-6107C1C3B095}"/>
      </w:docPartPr>
      <w:docPartBody>
        <w:p w14:paraId="76EC56A9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5AD2A3-7E88-44B2-8C0D-8D65EF60D662}"/>
      </w:docPartPr>
      <w:docPartBody>
        <w:p w14:paraId="1196372B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789ADA-9643-4F45-9E24-7857300CE828}"/>
      </w:docPartPr>
      <w:docPartBody>
        <w:p w14:paraId="1A7A7901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A869AAD-27D1-4591-BE21-101D8910BE25}"/>
      </w:docPartPr>
      <w:docPartBody>
        <w:p w14:paraId="65E8452D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F91443-8D3C-47AD-94C6-7C8AD0B449D1}"/>
      </w:docPartPr>
      <w:docPartBody>
        <w:p w14:paraId="79942F28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4E4B4B-2B1D-438D-87C4-29A997A94FC9}"/>
      </w:docPartPr>
      <w:docPartBody>
        <w:p w14:paraId="5F798066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436164-4F0F-4B2C-B188-DC1F3A0E4D68}"/>
      </w:docPartPr>
      <w:docPartBody>
        <w:p w14:paraId="322A377B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992E4-BD84-4B68-8744-1DFC9804CBAB}"/>
      </w:docPartPr>
      <w:docPartBody>
        <w:p w14:paraId="243A5A55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A4698-8510-471A-A6D3-F25E4A8FE745}"/>
      </w:docPartPr>
      <w:docPartBody>
        <w:p w14:paraId="053423D6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4F844-37AB-4A4B-861F-94775FE372D4}"/>
      </w:docPartPr>
      <w:docPartBody>
        <w:p w14:paraId="7ADBDB4A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5C8BFE-42E2-4CA7-AEDD-ED933A50381A}"/>
      </w:docPartPr>
      <w:docPartBody>
        <w:p w14:paraId="36D7BB60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64183-49EF-4ABD-A25F-3DB34A0D3B89}"/>
      </w:docPartPr>
      <w:docPartBody>
        <w:p w14:paraId="0D816E8A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BD1E44-F146-43B2-900A-FAC92ECA0CCE}"/>
      </w:docPartPr>
      <w:docPartBody>
        <w:p w14:paraId="79AC945E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828F49-2EC6-4F6B-8BCF-146CCF38D3DA}"/>
      </w:docPartPr>
      <w:docPartBody>
        <w:p w14:paraId="1560FDC9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93A50E-1C73-46F5-92A5-C9A753BE774C}"/>
      </w:docPartPr>
      <w:docPartBody>
        <w:p w14:paraId="47E61197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3A"/>
    <w:rsid w:val="000C6789"/>
    <w:rsid w:val="003F3E0E"/>
    <w:rsid w:val="00406DF6"/>
    <w:rsid w:val="004C051B"/>
    <w:rsid w:val="00520B3A"/>
    <w:rsid w:val="0061514A"/>
    <w:rsid w:val="006A0AE7"/>
    <w:rsid w:val="00876B59"/>
    <w:rsid w:val="0096188A"/>
    <w:rsid w:val="009C606A"/>
    <w:rsid w:val="00BC2F49"/>
    <w:rsid w:val="00D44495"/>
    <w:rsid w:val="00D50AD4"/>
    <w:rsid w:val="00E92317"/>
    <w:rsid w:val="00F26E12"/>
    <w:rsid w:val="00F66668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865F4B2936842CC8F47A8FB7DFFD8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0DBA64A841B4FC1B88B2400C64BA0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19C577D18B6438EBF7D899AF7D8C8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72816F4F8874447B7B12CB94C468D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EE1A7E454C647FFAE416789311A71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6EFDCF673B345D7A1A7409F9AE9B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2D15FF30E9240B9926AC3889C9865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2A63E484EA244DADB3E36F172C663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945B049A78B4772934229F9B2C0D4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2B639F613114A06A60BDA13AF084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6BCFCFC6E80046CD8CB5D43782B866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FC48C86A33D437B9E60068BD56BFC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DBCBC6C34244DF8B894B6E26331C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C28B1DCB10DE4171BDAB85D2DA54C8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8AE5535A03442939C1E9E5933A941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DB3B7773F334FDFA9A40671E8266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B32F8681F464DB99280AE486908E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063D55C435C41B4817CE5620E316B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59D5F1610B4AFFB47115C3FE2800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A9645D3ABCE490AA248DA28F7624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5E8C8ECFEC4EF4A2B6FEA71F3DB4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5A03815BF8F4DD9B2646737FCA57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3E9A5DC28DD0458D8748E281A2E02C8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C065DB1E359478DAC8046A1E1D5C4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D4D8315ACE048978D40080BF4765C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CB289F9636834F98B1F03727D4350B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A328D03AF24B76B2C8B3643DF5F9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0BF8AF46154404E88064D18C879B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2D8D8B03D44405DA22344ED41BB71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3B6852003C0940A99542059884E963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B7913444652426B849F390A351A98A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08A8F45CDE5F4A02971E6DAB6D2573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4114AAEA98F740278965372AF0F320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4C8E21D9595F4B15A867DAD94235253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9F79912161444248260C59D10B7CF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16B2E1F43D647D4B133839DB8C2FB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008718ABCFDA4865942EAD4B5B5266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5DE12014CDA1400D954C9ACAB8EBCF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84A0F3E068D424582A441A235CE58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125F64089C4A7AAD81F604C6E6AB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21F3857ABFA4654831F82D2C4DFE8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07FD6A28F8E540C199ED12A5433B12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9EDF595686448489FD8BEE2540E84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563B08F7FAB459ABBB712EA716448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485</Characters>
  <Lines>5</Lines>
  <Paragraphs>1</Paragraphs>
  <TotalTime>3</TotalTime>
  <ScaleCrop>false</ScaleCrop>
  <LinksUpToDate>false</LinksUpToDate>
  <CharactersWithSpaces>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妖精的口袋</cp:lastModifiedBy>
  <dcterms:modified xsi:type="dcterms:W3CDTF">2026-03-27T11:34:44Z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201E17471B4841F0BA032D110ECFD8BC_12</vt:lpwstr>
  </property>
</Properties>
</file>