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栖语・宿更生--高校公寓绿色更新设计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围护结构提高5%或负荷降低8%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卧室分户墙和卧室分户楼板两侧房间之间的空气声隔声性能（计权标准化声压级差与交通噪声频谱修正量之和DnT,w+Ctr)≥50dB，卧室分户楼板的撞击声隔声性能（计权标准化撞击声压级L'nT,w）≤55dB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21%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