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第一教学楼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8277.80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6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24.50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四川-攀枝花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2041.585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109.291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66.140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619.196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2923.119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124.004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585.402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265.110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1251.539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779.482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3679.802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470.701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2222.099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749F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5F7FC41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2E1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DFE7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249.871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4CD3043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565573D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662.709</w:t>
            </w:r>
            <w:bookmarkEnd w:id="36"/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消耗量"/>
            <w:r>
              <w:t>0</w:t>
            </w:r>
            <w:bookmarkEnd w:id="37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制冷剂碳排放"/>
            <w:r>
              <w:t>0.000</w:t>
            </w:r>
            <w:bookmarkEnd w:id="38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光伏能耗"/>
            <w:r>
              <w:rPr>
                <w:rFonts w:hint="eastAsia"/>
                <w:szCs w:val="21"/>
              </w:rPr>
              <w:t>239.753</w:t>
            </w:r>
            <w:bookmarkEnd w:id="39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电力CO2排放因子7"/>
            <w:r>
              <w:t>0.5703</w:t>
            </w:r>
            <w:bookmarkEnd w:id="40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光伏能耗_电耗CO2排放"/>
            <w:r>
              <w:t>1131.833</w:t>
            </w:r>
            <w:bookmarkEnd w:id="41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"/>
            <w:r>
              <w:rPr>
                <w:rFonts w:hint="eastAsia"/>
                <w:szCs w:val="21"/>
              </w:rPr>
              <w:t>0.000</w:t>
            </w:r>
            <w:bookmarkEnd w:id="42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风力能耗_电耗CO2排放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10192.833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66.140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7" w:name="设计建筑碳汇tCO2"/>
      <w:r>
        <w:t>0.000</w:t>
      </w:r>
      <w:bookmarkEnd w:id="47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2_tCO2"/>
            <w:r>
              <w:t>2041.585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碳排放tCO2_m2"/>
            <w:r>
              <w:t>0.247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生产占比"/>
            <w:r>
              <w:t>16.364</w:t>
            </w:r>
            <w:bookmarkEnd w:id="50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2_tCO2"/>
            <w:r>
              <w:t>109.291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碳排放tCO2_m2"/>
            <w:r>
              <w:t>0.013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运输占比"/>
            <w:r>
              <w:t>0.876</w:t>
            </w:r>
            <w:bookmarkEnd w:id="53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2_tCO2"/>
            <w:r>
              <w:t>66.140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碳排放tCO2_m2"/>
            <w:r>
              <w:t>0.008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建造占比"/>
            <w:r>
              <w:t>0.530</w:t>
            </w:r>
            <w:bookmarkEnd w:id="56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"/>
            <w:r>
              <w:t>10192.833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总碳排放tCO2_m2"/>
            <w:r>
              <w:t>1.231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运行占比"/>
            <w:r>
              <w:t>81.700</w:t>
            </w:r>
            <w:bookmarkEnd w:id="59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2_tCO2"/>
            <w:r>
              <w:t>66.140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碳排放tCO2_m2"/>
            <w:r>
              <w:t>0.008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拆除占比"/>
            <w:r>
              <w:t>0.530</w:t>
            </w:r>
            <w:bookmarkEnd w:id="62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负数设计建筑碳汇tCO2"/>
            <w:r>
              <w:rPr>
                <w:rFonts w:hint="eastAsia"/>
                <w:szCs w:val="21"/>
              </w:rPr>
              <w:t>-0.000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负数设计建筑碳汇tCO2_m2"/>
            <w:r>
              <w:rPr>
                <w:rFonts w:hint="eastAsia"/>
                <w:szCs w:val="21"/>
              </w:rPr>
              <w:t>-0.000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全生命周期碳排放tCO2"/>
            <w:r>
              <w:t>12475.989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_m2"/>
            <w:r>
              <w:t>1.507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7" w:name="全生命周期碳排放2_tCO2"/>
      <w:r>
        <w:t>12475.989</w:t>
      </w:r>
      <w:bookmarkEnd w:id="67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8" w:name="全生命周期碳排放2_tCO2_m2"/>
      <w:r>
        <w:t>1.507</w:t>
      </w:r>
      <w:bookmarkEnd w:id="68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9" w:name="全生命周期碳排放tCO2_m2_a"/>
      <w:r>
        <w:t>0.030</w:t>
      </w:r>
      <w:bookmarkEnd w:id="69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1" w:name="_GoBack"/>
      <w:bookmarkEnd w:id="71"/>
      <w:bookmarkStart w:id="70" w:name="全生命周期碳排放kgCO2_m2_a"/>
      <w:r>
        <w:t>30.000</w:t>
      </w:r>
      <w:bookmarkEnd w:id="70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F4EB1"/>
    <w:rsid w:val="001915A3"/>
    <w:rsid w:val="00217F62"/>
    <w:rsid w:val="00A906D8"/>
    <w:rsid w:val="00AB5A74"/>
    <w:rsid w:val="00F071AE"/>
    <w:rsid w:val="438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</Pages>
  <Words>801</Words>
  <Characters>1317</Characters>
  <Lines>9</Lines>
  <Paragraphs>2</Paragraphs>
  <TotalTime>491</TotalTime>
  <ScaleCrop>false</ScaleCrop>
  <LinksUpToDate>false</LinksUpToDate>
  <CharactersWithSpaces>1363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2026-03-27T03:14:00Z</dcterms:created>
  <dc:creator>WPS_1269527763</dc:creator>
  <cp:lastModifiedBy>WPS_1269527763</cp:lastModifiedBy>
  <dcterms:modified xsi:type="dcterms:W3CDTF">2026-03-27T03:14:41Z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7799D23EED514813AB2E39BA9B64311B_11</vt:lpwstr>
  </property>
</Properties>
</file>