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集成 ALOT 与可再生能源的负碳建筑实践——Bio-Link Hub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 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围护结构提高5%或负荷降低13%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37.97%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外窗气密性能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符合国家现行相关节能设计标准的规定，且外窗洞口与外窗本体的结合部位应严密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79.0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39.0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127.0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73.0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总得分：Q=（Q0+Q1+Q2+Q3+Q4+Q5+QA）/10=87.5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9746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9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404904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04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场地应避开滑坡、泥石流等地质危险地段，易发生洪涝地区应有可靠的防洪涝基础设施；场地应无危险化学品、易燃易爆危险源的威胁，应无电磁辐射、含氡土壤的危害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建筑结构应满足承载力和建筑使用功能要求。建筑外墙、屋面、门窗、幕墙及外保温等围护结构应满足安全、耐久和防护的要求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外遮阳、太阳能设施、空调室外机位、外墙花池等外部设施应与建筑主体结构统一设计、施工，并应具备安装、检修与维护条件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建筑内部的非结构件、设备及附属设施等应连接牢固并能适应主体结构变形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建筑外门窗必须安装牢固，其抗风压性能和水密性能应符合国家现行有关标准的规定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卫生间、浴室的地面应设置防水层，墙面、顶棚应设置防潮层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走廊、疏散通道等通行空间应满足紧急疏散、应急救护等要求，且应保持畅通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应具有安全防护的警示和引导标识相统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安全耐久相关技术要求应符合现行强制性工程建设规范《工程结构通用规范》GB 55001、《建筑与市政工程抗震通用规范》GB55002、《建筑与市政地基基础通用规范》GB 55003、《组合结构通用规范》GB 55004、《木结构通用规范》GB 55005、《钢结构通用规范》GB 55006、《砌体结构通用规范》GB 55007、《混凝土结构通用规范》GB 55008、《燃气工程项目规范》GB 55009、《供热工程项目规范》GB 55010、《建筑环境通用规范》GB 55016、《建筑给水排水与节水通用规范》GB 55020、《民用建筑通用规范》GB 55031、《建筑防火通用规范》GB 55037等的规定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采用基于性能的抗震设计并合理提高建筑的抗震性能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采取保障人员安全的防护措施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采用具有安全防护功能的产品或配件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室内外地面或路面设置防滑措施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采取人车分流措施，且步行和自行车交通系统有充足照明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采取提升建筑适变性的措施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采取提升建筑部品部件耐久性的措施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提高建筑结构材料的耐久性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合理采用耐久性好、易维护的装饰装修建筑材料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79.0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