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387F3">
      <w:pPr>
        <w:spacing w:before="480" w:after="480" w:line="288" w:lineRule="auto"/>
        <w:ind w:left="0"/>
      </w:pPr>
      <w:bookmarkStart w:id="31" w:name="_GoBack"/>
      <w:bookmarkEnd w:id="31"/>
      <w:r>
        <w:rPr>
          <w:rFonts w:ascii="Arial" w:hAnsi="Arial" w:eastAsia="等线" w:cs="Arial"/>
          <w:b/>
          <w:sz w:val="52"/>
        </w:rPr>
        <w:t>庭润荥康多生态绿色康养中心 结构及围护结构设计文件与计算书</w:t>
      </w:r>
    </w:p>
    <w:p w14:paraId="419A9CEA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编制依据</w:t>
      </w:r>
      <w:bookmarkEnd w:id="0"/>
    </w:p>
    <w:p w14:paraId="7DA3C198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《建筑环境通用规范》GB 55016-2021 4.1.2条款</w:t>
      </w:r>
    </w:p>
    <w:p w14:paraId="6826E27E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《建筑结构可靠性设计统一标准》GB 50068-2018</w:t>
      </w:r>
    </w:p>
    <w:p w14:paraId="7F864F22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《混凝土结构设计规范》GB 50010-2010（2015年版）</w:t>
      </w:r>
    </w:p>
    <w:p w14:paraId="04DDB5A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《建筑抗震设计规范》GB 50011-2010（2016年版）</w:t>
      </w:r>
    </w:p>
    <w:p w14:paraId="3089C14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《民用建筑热工设计规范》GB 50176-2016</w:t>
      </w:r>
    </w:p>
    <w:p w14:paraId="45A1BD3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《外墙外保温工程技术标准》JGJ 144-2019</w:t>
      </w:r>
    </w:p>
    <w:p w14:paraId="0F32ADEE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项目前期勘察报告、建筑施工图、绿色建筑专项设计文件</w:t>
      </w:r>
    </w:p>
    <w:p w14:paraId="537974EF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0435089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第一篇 建筑结构专项设计文件</w:t>
      </w:r>
      <w:bookmarkEnd w:id="1"/>
    </w:p>
    <w:p w14:paraId="6241F55F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一、项目结构设计概况</w:t>
      </w:r>
      <w:bookmarkEnd w:id="2"/>
    </w:p>
    <w:p w14:paraId="6090C3B2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 基本设计参数</w:t>
      </w:r>
      <w:bookmarkEnd w:id="3"/>
    </w:p>
    <w:p w14:paraId="0BE407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项目名称：庭润荥康——多生态绿色康养中心</w:t>
      </w:r>
    </w:p>
    <w:p w14:paraId="155303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建设地点：河南省郑州市荥阳市</w:t>
      </w:r>
    </w:p>
    <w:p w14:paraId="559C2A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建筑层数：地上3层，无地下层</w:t>
      </w:r>
    </w:p>
    <w:p w14:paraId="3DB26E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建筑高度：12.6m</w:t>
      </w:r>
    </w:p>
    <w:p w14:paraId="16F7D3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总建筑面积：4927㎡</w:t>
      </w:r>
    </w:p>
    <w:p w14:paraId="2272EE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结构类型：钢筋混凝土框架结构</w:t>
      </w:r>
    </w:p>
    <w:p w14:paraId="578BDC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设计使用年限：50年</w:t>
      </w:r>
    </w:p>
    <w:p w14:paraId="221310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建筑结构安全等级：二级</w:t>
      </w:r>
    </w:p>
    <w:p w14:paraId="0750CB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抗震设防烈度：7度，设计基本地震加速度0.10g</w:t>
      </w:r>
    </w:p>
    <w:p w14:paraId="2C5DBC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场地类别：Ⅱ类，抗震有利地段</w:t>
      </w:r>
    </w:p>
    <w:p w14:paraId="717038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屋面荷载等级：民用建筑常规活荷载标准值2.0kN/㎡，消防疏散屋面按规范取值</w:t>
      </w:r>
    </w:p>
    <w:p w14:paraId="625863CF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 结构设计核心原则</w:t>
      </w:r>
      <w:bookmarkEnd w:id="4"/>
    </w:p>
    <w:p w14:paraId="033C9F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康养类公共建筑，使用人群特殊、日常人员密集度适中，结构设计全程以承载力安全、使用功能适配、长期耐久稳定为核心准则，严格贴合建筑使用功能需求，兼顾后期运营维护、设备安装、室内改造等使用场景，保证结构体系完整、受力合理，无受力薄弱环节，满足长期安全使用要求。</w:t>
      </w:r>
    </w:p>
    <w:p w14:paraId="025A8671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二、结构承载力设计说明</w:t>
      </w:r>
      <w:bookmarkEnd w:id="5"/>
    </w:p>
    <w:p w14:paraId="55AE9BAB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 荷载取值设计</w:t>
      </w:r>
      <w:bookmarkEnd w:id="6"/>
    </w:p>
    <w:p w14:paraId="36409E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严格按照现行国家规范及项目使用功能，确定各类荷载取值，兼顾静荷载、活荷载、地震作用、风荷载等多重受力工况，所有荷载取值均满足规范下限要求，且贴合康养建筑实际使用需求。</w:t>
      </w:r>
    </w:p>
    <w:p w14:paraId="4A18B3C2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恒荷载：结构自重、建筑面层、墙体自重、保温层、设备基础等固定荷载，按实际材料容重计算</w:t>
      </w:r>
    </w:p>
    <w:p w14:paraId="0D9E202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活荷载：病房、康复区、走廊、楼梯间、卫生间等功能区域，均按照康养医疗建筑规范标准取值，人员密集区域适当提高荷载储备</w:t>
      </w:r>
    </w:p>
    <w:p w14:paraId="4EDF347D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风荷载：基本风压0.45kN/㎡，地面粗糙度类别B类，考虑风振效应</w:t>
      </w:r>
    </w:p>
    <w:p w14:paraId="004BD90C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地震作用：按7度抗震设防计算水平地震作用，进行多遇地震下结构承载力验算、弹性变形验算</w:t>
      </w:r>
    </w:p>
    <w:p w14:paraId="31CA6632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2. 结构体系设计</w:t>
      </w:r>
      <w:bookmarkEnd w:id="7"/>
    </w:p>
    <w:p w14:paraId="2EAF2E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钢筋混凝土框架结构体系，框架柱、框架梁、楼板、基础构件受力清晰，整体结构刚度均匀、传力路径明确，无竖向构件不连续、水平构件受力突变问题。基础形式根据地质勘察报告，采用天然地基独立基础，地基承载力满足上部结构荷载传递要求，结构整体沉降均匀，无不均匀沉降风险，适配建筑整体使用功能。</w:t>
      </w:r>
    </w:p>
    <w:p w14:paraId="23016D14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3. 构件承载力设计</w:t>
      </w:r>
      <w:bookmarkEnd w:id="8"/>
    </w:p>
    <w:p w14:paraId="039DE1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结构构件均通过承载力极限状态、正常使用极限状态双重验算，框架梁、框架柱、楼板配筋满足规范配筋率、抗震锚固要求，保证构件抗压、抗拉、抗弯、抗剪承载力达标。结构整体抗倾覆、抗滑移验算合格，在各类组合荷载作用下，结构无失稳风险，完全满足建筑结构承载力硬性要求，保障建筑全生命周期使用安全。</w:t>
      </w:r>
    </w:p>
    <w:p w14:paraId="0D1F49EF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三、结构使用功能适配设计</w:t>
      </w:r>
      <w:bookmarkEnd w:id="9"/>
    </w:p>
    <w:p w14:paraId="3268CA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构布局完全贴合康养建筑功能分区，室内空间无多余结构构件遮挡，满足康复诊疗、病房住宿、公共休闲、设备通行等使用需求；预留医疗设备安装、管线敷设空间，结构构件位置、尺寸适配室内装修、无障碍设计、绿色节能改造等专项设计要求。结构设计兼顾后期使用灵活性，局部区域可进行小幅功能改造，不影响整体结构承载力与安全性，实现结构安全与使用功能的高度统一。</w:t>
      </w:r>
    </w:p>
    <w:p w14:paraId="799BC356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四、结构设计结论</w:t>
      </w:r>
      <w:bookmarkEnd w:id="10"/>
    </w:p>
    <w:p w14:paraId="6239544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本项目建筑结构体系合理、荷载取值规范、构件承载力达标、整体稳定性良好，完全满足《建筑环境通用规范》GB 55016-2021 4.1.2条款中“建筑结构应满足承载力和建筑使用功能要求”的相关规定，结构设计合规、安全、实用。</w:t>
      </w:r>
    </w:p>
    <w:p w14:paraId="2D8E7200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7A20CFE"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第二篇 建筑围护结构专项设计文件</w:t>
      </w:r>
      <w:bookmarkEnd w:id="11"/>
    </w:p>
    <w:p w14:paraId="30D327D6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一、围护结构设计概况</w:t>
      </w:r>
      <w:bookmarkEnd w:id="12"/>
    </w:p>
    <w:p w14:paraId="5BB44DD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围护结构包含外墙、屋面、外门窗、外保温系统四大核心部分，围绕安全、耐久、防护三大核心要求展开设计，兼顾绿色建筑二星级节能要求、康养建筑室内环境舒适度要求，所有围护构件均满足防水、保温、抗风压、防开裂、耐久使用等多重性能，适配项目所在地寒冷B区气候特点，抵御外界风雨、温差、冻融等外界侵蚀。</w:t>
      </w:r>
    </w:p>
    <w:p w14:paraId="58101DC7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二、各围护构件设计要求</w:t>
      </w:r>
      <w:bookmarkEnd w:id="13"/>
    </w:p>
    <w:p w14:paraId="6878E0C2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1. 屋面围护结构</w:t>
      </w:r>
      <w:bookmarkEnd w:id="14"/>
    </w:p>
    <w:p w14:paraId="377456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采用倒置式保温防水屋面，构造层次由上至下：保护层、防水层、保温层、找平层、结构楼板；保温材料选用挤塑聚苯板XPS，厚度满足节能热工要求；屋面防水层采用高聚物改性沥青防水卷材，双层设防，防水等级为Ⅱ级。屋面整体满足抗风压、抗渗漏、抗冻融要求，保温层与基层粘结牢固，无脱落、渗水隐患，长期使用性能稳定，满足防护与耐久要求。</w:t>
      </w:r>
    </w:p>
    <w:p w14:paraId="637904D9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2. 外墙围护结构</w:t>
      </w:r>
      <w:bookmarkEnd w:id="15"/>
    </w:p>
    <w:p w14:paraId="26DE1B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墙采用钢筋混凝土墙体+外墙外保温体系，基层墙体承载力达标、整体性强；外保温采用挤塑聚苯板XPS，专用粘结砂浆+锚栓双重固定，保温层外做抗裂防护层+饰面层，杜绝保温层脱落、开裂、渗水问题。外墙整体满足抗风压、抗温度变形、抗雨水渗透要求，墙体自身强度、保温系统耐久性、饰面防护性均满足规范，适配建筑外立面美观与长期使用需求。</w:t>
      </w:r>
    </w:p>
    <w:p w14:paraId="40A1CC4D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3. 外门窗围护结构</w:t>
      </w:r>
      <w:bookmarkEnd w:id="16"/>
    </w:p>
    <w:p w14:paraId="1393AC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门窗采用断桥铝型材+中空玻璃，门窗框与墙体接缝处密封严实，杜绝缝隙渗漏；门窗构件强度满足抗风压、抗变形要求，五金配件选用耐久型产品，开启、关闭灵活可靠。外门窗整体满足保温、隔声、防水、防风性能，气密性、水密性达标，无变形、渗漏、老化过快问题，满足围护结构安全、防护、耐久要求。</w:t>
      </w:r>
    </w:p>
    <w:p w14:paraId="56B8C02E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4. 外保温系统</w:t>
      </w:r>
      <w:bookmarkEnd w:id="17"/>
    </w:p>
    <w:p w14:paraId="32D6AF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保温系统与基层墙体连接可靠，粘结强度、锚栓拉拔力均满足规范要求，保温材料燃烧性能、耐久性、耐候性达标，适应外界温度变化、风雨侵蚀，无开裂、空鼓、脱落、风化问题，保温性能长期稳定，同时兼顾防火安全，符合康养建筑安全防护要求。</w:t>
      </w:r>
    </w:p>
    <w:p w14:paraId="6CE1876C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三、围护结构安全耐久防护总体要求</w:t>
      </w:r>
      <w:bookmarkEnd w:id="18"/>
    </w:p>
    <w:p w14:paraId="1A7782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围护结构构件均经过耐候性、耐久性、抗外力破坏验算，材料选用符合国家现行标准，施工工艺满足专项规范要求；围护结构具备完善的防水、防潮、保温、抗风压、抗老化性能，可有效抵御外界环境侵蚀，延长建筑使用寿命，运营期间无需频繁维修整改，兼顾安全性、实用性与经济性，完全符合规范4.1.2条款围护结构设计要求。</w:t>
      </w:r>
    </w:p>
    <w:p w14:paraId="3E1A8D1A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5FFFAF72">
      <w:pPr>
        <w:spacing w:before="380" w:after="140" w:line="288" w:lineRule="auto"/>
        <w:ind w:left="0"/>
        <w:jc w:val="left"/>
        <w:outlineLvl w:val="0"/>
      </w:pPr>
      <w:bookmarkStart w:id="19" w:name="heading_19"/>
      <w:r>
        <w:rPr>
          <w:rFonts w:ascii="Arial" w:hAnsi="Arial" w:eastAsia="等线" w:cs="Arial"/>
          <w:b/>
          <w:sz w:val="36"/>
        </w:rPr>
        <w:t>第三篇 结构承载力及围护结构专项计算书</w:t>
      </w:r>
      <w:bookmarkEnd w:id="19"/>
    </w:p>
    <w:p w14:paraId="151798DA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一、结构承载力验算（核心节选）</w:t>
      </w:r>
      <w:bookmarkEnd w:id="20"/>
    </w:p>
    <w:p w14:paraId="6BBBB01E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1. 荷载组合计算</w:t>
      </w:r>
      <w:bookmarkEnd w:id="21"/>
    </w:p>
    <w:p w14:paraId="4485C13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按照规范要求，采用基本组合、标准组合、准永久组合三类荷载组合方式，进行结构承载力与变形验算：</w:t>
      </w:r>
    </w:p>
    <w:p w14:paraId="66CDF1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承载力极限状态基本组合：</w:t>
      </w:r>
      <m:oMath>
        <m:r>
          <m:rPr/>
          <w:rPr>
            <w:rFonts w:ascii="Cambria Math" w:hAnsi="Cambria Math"/>
          </w:rPr>
          <m:t>S=</m:t>
        </m:r>
        <m:sSub>
          <m:sSubPr/>
          <m:e>
            <m:r>
              <m:rPr/>
              <w:rPr>
                <w:rFonts w:ascii="Cambria Math" w:hAnsi="Cambria Math"/>
              </w:rPr>
              <m:t>γ</m:t>
            </m:r>
          </m:e>
          <m:sub>
            <m:r>
              <m:rPr/>
              <w:rPr>
                <w:rFonts w:ascii="Cambria Math" w:hAnsi="Cambria Math"/>
              </w:rPr>
              <m:t>G</m:t>
            </m:r>
          </m:sub>
        </m:sSub>
        <m:sSub>
          <m:sSubPr/>
          <m:e>
            <m:r>
              <m:rPr/>
              <w:rPr>
                <w:rFonts w:ascii="Cambria Math" w:hAnsi="Cambria Math"/>
              </w:rPr>
              <m:t>S</m:t>
            </m:r>
          </m:e>
          <m:sub>
            <m:r>
              <m:rPr/>
              <w:rPr>
                <w:rFonts w:ascii="Cambria Math" w:hAnsi="Cambria Math"/>
              </w:rPr>
              <m:t>GK</m:t>
            </m:r>
          </m:sub>
        </m:sSub>
        <m:r>
          <m:rPr/>
          <w:rPr>
            <w:rFonts w:ascii="Cambria Math" w:hAnsi="Cambria Math"/>
          </w:rPr>
          <m:t>+</m:t>
        </m:r>
        <m:sSub>
          <m:sSubPr/>
          <m:e>
            <m:r>
              <m:rPr/>
              <w:rPr>
                <w:rFonts w:ascii="Cambria Math" w:hAnsi="Cambria Math"/>
              </w:rPr>
              <m:t>γ</m:t>
            </m:r>
          </m:e>
          <m:sub>
            <m:r>
              <m:rPr/>
              <w:rPr>
                <w:rFonts w:ascii="Cambria Math" w:hAnsi="Cambria Math"/>
              </w:rPr>
              <m:t>Q1</m:t>
            </m:r>
          </m:sub>
        </m:sSub>
        <m:sSub>
          <m:sSubPr/>
          <m:e>
            <m:r>
              <m:rPr/>
              <w:rPr>
                <w:rFonts w:ascii="Cambria Math" w:hAnsi="Cambria Math"/>
              </w:rPr>
              <m:t>S</m:t>
            </m:r>
          </m:e>
          <m:sub>
            <m:r>
              <m:rPr/>
              <w:rPr>
                <w:rFonts w:ascii="Cambria Math" w:hAnsi="Cambria Math"/>
              </w:rPr>
              <m:t>Q1K</m:t>
            </m:r>
          </m:sub>
        </m:sSub>
        <m:r>
          <m:rPr/>
          <w:rPr>
            <w:rFonts w:ascii="Cambria Math" w:hAnsi="Cambria Math"/>
          </w:rPr>
          <m:t>+</m:t>
        </m:r>
        <m:nary>
          <m:naryPr>
            <m:chr m:val="∑"/>
            <m:grow m:val="1"/>
            <m:limLoc m:val="subSup"/>
          </m:naryPr>
          <m:sub>
            <m:r>
              <m:rPr/>
              <w:rPr>
                <w:rFonts w:ascii="Cambria Math" w:hAnsi="Cambria Math"/>
              </w:rPr>
              <m:t>i=2</m:t>
            </m:r>
          </m:sub>
          <m:sup>
            <m:r>
              <m:rPr/>
              <w:rPr>
                <w:rFonts w:ascii="Cambria Math" w:hAnsi="Cambria Math"/>
              </w:rPr>
              <m:t>n</m:t>
            </m:r>
          </m:sup>
          <m:e/>
        </m:nary>
        <m:sSub>
          <m:sSubPr/>
          <m:e>
            <m:r>
              <m:rPr/>
              <w:rPr>
                <w:rFonts w:ascii="Cambria Math" w:hAnsi="Cambria Math"/>
              </w:rPr>
              <m:t>γ</m:t>
            </m:r>
          </m:e>
          <m:sub>
            <m:r>
              <m:rPr/>
              <w:rPr>
                <w:rFonts w:ascii="Cambria Math" w:hAnsi="Cambria Math"/>
              </w:rPr>
              <m:t>Qi</m:t>
            </m:r>
          </m:sub>
        </m:sSub>
        <m:sSub>
          <m:sSubPr/>
          <m:e>
            <m:r>
              <m:rPr/>
              <w:rPr>
                <w:rFonts w:ascii="Cambria Math" w:hAnsi="Cambria Math"/>
              </w:rPr>
              <m:t>ψ</m:t>
            </m:r>
          </m:e>
          <m:sub>
            <m:r>
              <m:rPr/>
              <w:rPr>
                <w:rFonts w:ascii="Cambria Math" w:hAnsi="Cambria Math"/>
              </w:rPr>
              <m:t>ci</m:t>
            </m:r>
          </m:sub>
        </m:sSub>
        <m:sSub>
          <m:sSubPr/>
          <m:e>
            <m:r>
              <m:rPr/>
              <w:rPr>
                <w:rFonts w:ascii="Cambria Math" w:hAnsi="Cambria Math"/>
              </w:rPr>
              <m:t>S</m:t>
            </m:r>
          </m:e>
          <m:sub>
            <m:r>
              <m:rPr/>
              <w:rPr>
                <w:rFonts w:ascii="Cambria Math" w:hAnsi="Cambria Math"/>
              </w:rPr>
              <m:t>QiK</m:t>
            </m:r>
          </m:sub>
        </m:sSub>
      </m:oMath>
    </w:p>
    <w:p w14:paraId="77FB73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式中：</w:t>
      </w:r>
      <m:oMath>
        <m:sSub>
          <m:sSubPr/>
          <m:e>
            <m:r>
              <m:rPr/>
              <w:rPr>
                <w:rFonts w:ascii="Cambria Math" w:hAnsi="Cambria Math"/>
              </w:rPr>
              <m:t>γ</m:t>
            </m:r>
          </m:e>
          <m:sub>
            <m:r>
              <m:rPr/>
              <w:rPr>
                <w:rFonts w:ascii="Cambria Math" w:hAnsi="Cambria Math"/>
              </w:rPr>
              <m:t>G</m:t>
            </m:r>
          </m:sub>
        </m:sSub>
      </m:oMath>
      <w:r>
        <w:rPr>
          <w:rFonts w:ascii="Arial" w:hAnsi="Arial" w:eastAsia="等线" w:cs="Arial"/>
          <w:sz w:val="22"/>
        </w:rPr>
        <w:t>为永久荷载分项系数，取1.3；</w:t>
      </w:r>
      <m:oMath>
        <m:sSub>
          <m:sSubPr/>
          <m:e>
            <m:r>
              <m:rPr/>
              <w:rPr>
                <w:rFonts w:ascii="Cambria Math" w:hAnsi="Cambria Math"/>
              </w:rPr>
              <m:t>γ</m:t>
            </m:r>
          </m:e>
          <m:sub>
            <m:r>
              <m:rPr/>
              <w:rPr>
                <w:rFonts w:ascii="Cambria Math" w:hAnsi="Cambria Math"/>
              </w:rPr>
              <m:t>Q</m:t>
            </m:r>
          </m:sub>
        </m:sSub>
      </m:oMath>
      <w:r>
        <w:rPr>
          <w:rFonts w:ascii="Arial" w:hAnsi="Arial" w:eastAsia="等线" w:cs="Arial"/>
          <w:sz w:val="22"/>
        </w:rPr>
        <w:t>为可变荷载分项系数，取1.5；</w:t>
      </w:r>
      <m:oMath>
        <m:sSub>
          <m:sSubPr/>
          <m:e>
            <m:r>
              <m:rPr/>
              <w:rPr>
                <w:rFonts w:ascii="Cambria Math" w:hAnsi="Cambria Math"/>
              </w:rPr>
              <m:t>ψ</m:t>
            </m:r>
          </m:e>
          <m:sub>
            <m:r>
              <m:rPr/>
              <w:rPr>
                <w:rFonts w:ascii="Cambria Math" w:hAnsi="Cambria Math"/>
              </w:rPr>
              <m:t>ci</m:t>
            </m:r>
          </m:sub>
        </m:sSub>
      </m:oMath>
      <w:r>
        <w:rPr>
          <w:rFonts w:ascii="Arial" w:hAnsi="Arial" w:eastAsia="等线" w:cs="Arial"/>
          <w:sz w:val="22"/>
        </w:rPr>
        <w:t>为可变荷载组合值系数</w:t>
      </w:r>
    </w:p>
    <w:p w14:paraId="47FA40CE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2. 框架构件承载力验算</w:t>
      </w:r>
      <w:bookmarkEnd w:id="22"/>
    </w:p>
    <w:p w14:paraId="63DC7D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框架梁：按受弯构件验算正截面抗弯承载力、斜截面抗剪承载力，配筋率满足最小配筋率要求，挠度验算值≤规范限值，裂缝宽度≤0.3mm，满足正常使用要求；</w:t>
      </w:r>
    </w:p>
    <w:p w14:paraId="3CB4632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框架柱：按偏心受压构件验算，轴压比满足7度抗震设防限值要求，配筋满足抗压、抗震锚固要求，保证竖向荷载与地震作用下承载力达标；</w:t>
      </w:r>
    </w:p>
    <w:p w14:paraId="570690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楼板：双向板受力验算，配筋满足抗弯、抗裂要求，挠度、裂缝宽度均在规范允许范围内，适配室内使用功能。</w:t>
      </w:r>
    </w:p>
    <w:p w14:paraId="6C64F5BF">
      <w:pPr>
        <w:spacing w:before="300" w:after="120" w:line="288" w:lineRule="auto"/>
        <w:ind w:left="0"/>
        <w:jc w:val="left"/>
        <w:outlineLvl w:val="2"/>
      </w:pPr>
      <w:bookmarkStart w:id="23" w:name="heading_23"/>
      <w:r>
        <w:rPr>
          <w:rFonts w:ascii="Arial" w:hAnsi="Arial" w:eastAsia="等线" w:cs="Arial"/>
          <w:b/>
          <w:sz w:val="30"/>
        </w:rPr>
        <w:t>3. 地基基础承载力验算</w:t>
      </w:r>
      <w:bookmarkEnd w:id="23"/>
    </w:p>
    <w:p w14:paraId="5CEDFC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地基承载力特征值经勘察取值fₐ≥180kPa，基础底面压力计算值Pₖ≤fₐ，地基承载力满足上部结构荷载传递要求；基础沉降计算值≤规范允许沉降值，不均匀沉降差满足要求，结构整体抗倾覆、抗滑移验算合格。</w:t>
      </w:r>
    </w:p>
    <w:p w14:paraId="7A3DDF37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4. 抗震承载力验算</w:t>
      </w:r>
      <w:bookmarkEnd w:id="24"/>
    </w:p>
    <w:p w14:paraId="5A298A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采用底部剪力法计算水平地震作用，结构层间位移角≤1/550，满足框架结构弹性位移限值；结构构件抗震等级为四级，构件配筋、节点构造均满足抗震承载力要求，地震作用下结构无破坏风险。</w:t>
      </w:r>
    </w:p>
    <w:p w14:paraId="71BDDBD4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二、围护结构安全性能验算</w:t>
      </w:r>
      <w:bookmarkEnd w:id="25"/>
    </w:p>
    <w:p w14:paraId="07CD9E7E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1. 屋面抗风压、防水耐久验算</w:t>
      </w:r>
      <w:bookmarkEnd w:id="26"/>
    </w:p>
    <w:p w14:paraId="39B89E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屋面风荷载吸力计算值≤屋面构件及保温层抗拔承载力，屋面防水层搭接宽度、粘结强度满足规范，抗渗等级达标，冻融循环试验合格，使用寿命满足建筑设计使用年限要求。</w:t>
      </w:r>
    </w:p>
    <w:p w14:paraId="4F78C385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2. 外墙保温系统力学性能验算</w:t>
      </w:r>
      <w:bookmarkEnd w:id="27"/>
    </w:p>
    <w:p w14:paraId="28A614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保温板与基层墙体粘结强度≥0.15MPa，单根锚栓抗拉承载力≥0.6kN，满足风荷载与自重作用下的抗拉要求；抗裂层抗拉强度、耐冲击性能达标，外墙整体抗风压、抗变形、抗雨水渗漏性能合格。</w:t>
      </w:r>
    </w:p>
    <w:p w14:paraId="20972173"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>3. 外门窗性能验算</w:t>
      </w:r>
      <w:bookmarkEnd w:id="28"/>
    </w:p>
    <w:p w14:paraId="331AEB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外门窗抗风压性能等级≥6级，气密性等级≥6级，水密性等级≥5级，型材抗弯承载力、玻璃强度均满足外力作用要求，无变形、破损隐患，密封耐久性达标。</w:t>
      </w:r>
    </w:p>
    <w:p w14:paraId="26CA41CB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4. 围护结构热工与防护验算</w:t>
      </w:r>
      <w:bookmarkEnd w:id="29"/>
    </w:p>
    <w:p w14:paraId="4161ABA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屋面传热系数K=0.32W/(㎡·K)，外墙传热系数K=0.59W/(㎡·K)，均满足寒冷地区节能与防护要求；围护结构内部无冷凝结露问题，外表面温度满足规范限值，长期使用无冻融破坏风险。</w:t>
      </w:r>
    </w:p>
    <w:p w14:paraId="1D598C43"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三、计算结论</w:t>
      </w:r>
      <w:bookmarkEnd w:id="30"/>
    </w:p>
    <w:p w14:paraId="21DB2D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专项验算，本项目结构承载力、变形性能、抗震性能、地基基础均满足规范要求，完全适配建筑使用功能；外墙、屋面、门窗、外保温等围护结构，安全性能、耐久性能、防护性能均达标，各项计算指标均符合《建筑环境通用规范》GB 55016-2021 4.1.2条款规定，设计与计算结果合规、可靠。</w:t>
      </w:r>
    </w:p>
    <w:p w14:paraId="40EB08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生成)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3774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63E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C0F7C"/>
    <w:rsid w:val="4CC83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3334</Words>
  <Characters>3543</Characters>
  <TotalTime>0</TotalTime>
  <ScaleCrop>false</ScaleCrop>
  <LinksUpToDate>false</LinksUpToDate>
  <CharactersWithSpaces>3577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2026-03-28T17:08:00Z</dcterms:created>
  <dc:creator>Apache POI</dc:creator>
  <cp:lastModifiedBy>23325</cp:lastModifiedBy>
  <dcterms:modified xsi:type="dcterms:W3CDTF">2026-03-28T17:08:52Z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6120F40A94FF4FF7A2944D9734A55F30_13</vt:lpwstr>
  </property>
</Properties>
</file>