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潮宗街火灾纪念馆03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待定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参与单位名称：中南大学建筑与艺术学院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咨询单位名称：待定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基本级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围护结构提高5%或负荷降低3%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卧室分户墙和卧室分户楼板两侧房间之间的空气声隔声性能（计权标准化声压级差与交通噪声频谱修正量之和DnT,w+Ctr）≥47dB，卧室分户楼板的撞击声隔声性能（计权标准化撞击声压级L'nT,w）≤60dB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符合国家现行相关节能设计标准的规定，且外窗洞口与外窗本体的结合部位应严密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总得分：Q=（Q0+Q1+Q2+Q3+Q4+Q5+QA）/10=40.0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78264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782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采用基于性能的抗震设计并合理提高建筑的抗震性能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采取保障人员安全的防护措施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采用具有安全防护功能的产品或配件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室内外地面或路面设置防滑措施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采取人车分流措施，且步行和自行车交通系统有充足照明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采取提升建筑适变性的措施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采取提升建筑部品部件耐久性的措施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提高建筑结构材料的耐久性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合理采用耐久性好、易维护的装饰装修建筑材料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