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B38B4">
      <w:pPr>
        <w:pStyle w:val="2"/>
        <w:keepNext w:val="0"/>
        <w:keepLines w:val="0"/>
        <w:widowControl/>
        <w:suppressLineNumbers w:val="0"/>
        <w:shd w:val="clear" w:fill="FFFFFF"/>
        <w:spacing w:before="0" w:beforeAutospacing="0" w:after="0" w:afterAutospacing="0" w:line="280" w:lineRule="atLeast"/>
        <w:ind w:left="0" w:right="0" w:firstLine="0"/>
        <w:rPr>
          <w:rFonts w:ascii="sans-serif" w:hAnsi="sans-serif" w:eastAsia="sans-serif" w:cs="sans-serif"/>
          <w:i w:val="0"/>
          <w:iCs w:val="0"/>
          <w:caps w:val="0"/>
          <w:color w:val="2B2D31"/>
          <w:spacing w:val="0"/>
        </w:rPr>
      </w:pPr>
      <w:bookmarkStart w:id="0" w:name="_GoBack"/>
      <w:r>
        <w:rPr>
          <w:rFonts w:hint="default" w:ascii="sans-serif" w:hAnsi="sans-serif" w:eastAsia="sans-serif" w:cs="sans-serif"/>
          <w:i w:val="0"/>
          <w:iCs w:val="0"/>
          <w:caps w:val="0"/>
          <w:color w:val="2B2D31"/>
          <w:spacing w:val="0"/>
          <w:shd w:val="clear" w:fill="FFFFFF"/>
        </w:rPr>
        <w:t>《見逢岁聿》康养中心非结构构件与设备维护管理手册（运行记录摘要）</w:t>
      </w:r>
    </w:p>
    <w:bookmarkEnd w:id="0"/>
    <w:p w14:paraId="16F95716">
      <w:pPr>
        <w:rPr>
          <w:rFonts w:hint="default"/>
        </w:rPr>
      </w:pPr>
      <w:r>
        <w:rPr>
          <w:rFonts w:hint="default"/>
        </w:rPr>
        <w:t>项目名称： 見逢岁聿-基于交互理论学下的绿色田园康养中心建筑设计</w:t>
      </w:r>
      <w:r>
        <w:rPr>
          <w:rFonts w:hint="default"/>
        </w:rPr>
        <w:br w:type="textWrapping"/>
      </w:r>
      <w:r>
        <w:rPr>
          <w:rFonts w:hint="default"/>
        </w:rPr>
        <w:t>管理单位： 见逢岁聿康养中心运营部 / 山东城市建设职业学院项目模拟运维组</w:t>
      </w:r>
      <w:r>
        <w:rPr>
          <w:rFonts w:hint="default"/>
        </w:rPr>
        <w:br w:type="textWrapping"/>
      </w:r>
      <w:r>
        <w:rPr>
          <w:rFonts w:hint="default"/>
        </w:rPr>
        <w:t>涉及条文： 绿建评价标准 4.1.4（连接牢固性与变形适应性）</w:t>
      </w:r>
    </w:p>
    <w:p w14:paraId="29809A97">
      <w:pPr>
        <w:rPr>
          <w:rFonts w:hint="default"/>
        </w:rPr>
      </w:pPr>
      <w:r>
        <w:rPr>
          <w:rFonts w:hint="default"/>
        </w:rPr>
        <w:t>一、 维护管理概述</w:t>
      </w:r>
    </w:p>
    <w:p w14:paraId="3004E20F">
      <w:pPr>
        <w:rPr>
          <w:rFonts w:hint="default"/>
        </w:rPr>
      </w:pPr>
      <w:r>
        <w:rPr>
          <w:rFonts w:hint="default"/>
        </w:rPr>
        <w:t>为确保康养中心内非结构构件（如隔墙、吊顶、装饰板材）及各类交互设备（如水幕、灯光、感知元件）在长期运行中的安全性，特制定本记录表。重点监控连接件的抗震性能、防腐蚀状况以及在建筑结构微小变形下的适应性，严防脱落、倾倒风险。</w:t>
      </w:r>
    </w:p>
    <w:p w14:paraId="6A2CFC8E">
      <w:pPr>
        <w:rPr>
          <w:rFonts w:hint="default"/>
        </w:rPr>
      </w:pPr>
      <w:r>
        <w:rPr>
          <w:rFonts w:hint="default"/>
        </w:rPr>
        <w:t>二、 专项维修与巡检记录表（2026年度第一季度）</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243"/>
        <w:gridCol w:w="1276"/>
        <w:gridCol w:w="4200"/>
        <w:gridCol w:w="1236"/>
        <w:gridCol w:w="651"/>
      </w:tblGrid>
      <w:tr w14:paraId="60F1F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nil"/>
              <w:right w:val="nil"/>
            </w:tcBorders>
            <w:shd w:val="clear"/>
            <w:tcMar>
              <w:top w:w="60" w:type="dxa"/>
              <w:left w:w="120" w:type="dxa"/>
              <w:bottom w:w="60" w:type="dxa"/>
              <w:right w:w="120" w:type="dxa"/>
            </w:tcMar>
            <w:vAlign w:val="center"/>
          </w:tcPr>
          <w:p w14:paraId="0A7D4F7B">
            <w:pPr>
              <w:rPr>
                <w:rFonts w:hint="default"/>
              </w:rPr>
            </w:pPr>
            <w:r>
              <w:rPr>
                <w:rFonts w:hint="default"/>
                <w:lang w:val="en-US" w:eastAsia="zh-CN"/>
              </w:rPr>
              <w:t>巡检日期</w:t>
            </w:r>
          </w:p>
        </w:tc>
        <w:tc>
          <w:tcPr>
            <w:tcW w:w="0" w:type="auto"/>
            <w:tcBorders>
              <w:top w:val="nil"/>
              <w:right w:val="nil"/>
            </w:tcBorders>
            <w:shd w:val="clear"/>
            <w:tcMar>
              <w:top w:w="60" w:type="dxa"/>
              <w:left w:w="120" w:type="dxa"/>
              <w:bottom w:w="60" w:type="dxa"/>
              <w:right w:w="120" w:type="dxa"/>
            </w:tcMar>
            <w:vAlign w:val="center"/>
          </w:tcPr>
          <w:p w14:paraId="11EFA95C">
            <w:pPr>
              <w:rPr>
                <w:rFonts w:hint="default"/>
              </w:rPr>
            </w:pPr>
            <w:r>
              <w:rPr>
                <w:rFonts w:hint="default"/>
                <w:lang w:val="en-US" w:eastAsia="zh-CN"/>
              </w:rPr>
              <w:t>维护对象</w:t>
            </w:r>
          </w:p>
        </w:tc>
        <w:tc>
          <w:tcPr>
            <w:tcW w:w="0" w:type="auto"/>
            <w:tcBorders>
              <w:top w:val="nil"/>
              <w:right w:val="nil"/>
            </w:tcBorders>
            <w:shd w:val="clear"/>
            <w:tcMar>
              <w:top w:w="60" w:type="dxa"/>
              <w:left w:w="120" w:type="dxa"/>
              <w:bottom w:w="60" w:type="dxa"/>
              <w:right w:w="120" w:type="dxa"/>
            </w:tcMar>
            <w:vAlign w:val="center"/>
          </w:tcPr>
          <w:p w14:paraId="424FA851">
            <w:pPr>
              <w:rPr>
                <w:rFonts w:hint="default"/>
              </w:rPr>
            </w:pPr>
            <w:r>
              <w:rPr>
                <w:rFonts w:hint="default"/>
                <w:lang w:val="en-US" w:eastAsia="zh-CN"/>
              </w:rPr>
              <w:t>维护内容及连接安全性检查</w:t>
            </w:r>
          </w:p>
        </w:tc>
        <w:tc>
          <w:tcPr>
            <w:tcW w:w="0" w:type="auto"/>
            <w:tcBorders>
              <w:top w:val="nil"/>
              <w:right w:val="nil"/>
            </w:tcBorders>
            <w:shd w:val="clear"/>
            <w:tcMar>
              <w:top w:w="60" w:type="dxa"/>
              <w:left w:w="120" w:type="dxa"/>
              <w:bottom w:w="60" w:type="dxa"/>
              <w:right w:w="120" w:type="dxa"/>
            </w:tcMar>
            <w:vAlign w:val="center"/>
          </w:tcPr>
          <w:p w14:paraId="0136065A">
            <w:pPr>
              <w:rPr>
                <w:rFonts w:hint="default"/>
              </w:rPr>
            </w:pPr>
            <w:r>
              <w:rPr>
                <w:rFonts w:hint="default"/>
                <w:lang w:val="en-US" w:eastAsia="zh-CN"/>
              </w:rPr>
              <w:t>检查结果</w:t>
            </w:r>
          </w:p>
        </w:tc>
        <w:tc>
          <w:tcPr>
            <w:tcW w:w="0" w:type="auto"/>
            <w:tcBorders>
              <w:top w:val="nil"/>
              <w:right w:val="nil"/>
            </w:tcBorders>
            <w:shd w:val="clear"/>
            <w:tcMar>
              <w:top w:w="60" w:type="dxa"/>
              <w:left w:w="120" w:type="dxa"/>
              <w:bottom w:w="60" w:type="dxa"/>
              <w:right w:w="120" w:type="dxa"/>
            </w:tcMar>
            <w:vAlign w:val="center"/>
          </w:tcPr>
          <w:p w14:paraId="0FB7FFE2">
            <w:pPr>
              <w:rPr>
                <w:rFonts w:hint="default"/>
              </w:rPr>
            </w:pPr>
            <w:r>
              <w:rPr>
                <w:rFonts w:hint="default"/>
                <w:lang w:val="en-US" w:eastAsia="zh-CN"/>
              </w:rPr>
              <w:t>责任人</w:t>
            </w:r>
          </w:p>
        </w:tc>
      </w:tr>
      <w:tr w14:paraId="30202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right w:val="nil"/>
            </w:tcBorders>
            <w:shd w:val="clear"/>
            <w:tcMar>
              <w:top w:w="60" w:type="dxa"/>
              <w:left w:w="120" w:type="dxa"/>
              <w:bottom w:w="60" w:type="dxa"/>
              <w:right w:w="120" w:type="dxa"/>
            </w:tcMar>
            <w:vAlign w:val="center"/>
          </w:tcPr>
          <w:p w14:paraId="35E3B362">
            <w:pPr>
              <w:rPr>
                <w:rFonts w:hint="default"/>
              </w:rPr>
            </w:pPr>
            <w:r>
              <w:rPr>
                <w:rFonts w:hint="default"/>
                <w:lang w:val="en-US" w:eastAsia="zh-CN"/>
              </w:rPr>
              <w:t>2026.01.15</w:t>
            </w:r>
          </w:p>
        </w:tc>
        <w:tc>
          <w:tcPr>
            <w:tcW w:w="0" w:type="auto"/>
            <w:tcBorders>
              <w:right w:val="nil"/>
            </w:tcBorders>
            <w:shd w:val="clear"/>
            <w:tcMar>
              <w:top w:w="60" w:type="dxa"/>
              <w:left w:w="120" w:type="dxa"/>
              <w:bottom w:w="60" w:type="dxa"/>
              <w:right w:w="120" w:type="dxa"/>
            </w:tcMar>
            <w:vAlign w:val="center"/>
          </w:tcPr>
          <w:p w14:paraId="41B5FF6D">
            <w:pPr>
              <w:rPr>
                <w:rFonts w:hint="default"/>
              </w:rPr>
            </w:pPr>
            <w:r>
              <w:rPr>
                <w:rFonts w:hint="default"/>
                <w:lang w:val="en-US" w:eastAsia="zh-CN"/>
              </w:rPr>
              <w:t>生土复合呼吸墙</w:t>
            </w:r>
          </w:p>
        </w:tc>
        <w:tc>
          <w:tcPr>
            <w:tcW w:w="0" w:type="auto"/>
            <w:tcBorders>
              <w:right w:val="nil"/>
            </w:tcBorders>
            <w:shd w:val="clear"/>
            <w:tcMar>
              <w:top w:w="60" w:type="dxa"/>
              <w:left w:w="120" w:type="dxa"/>
              <w:bottom w:w="60" w:type="dxa"/>
              <w:right w:w="120" w:type="dxa"/>
            </w:tcMar>
            <w:vAlign w:val="center"/>
          </w:tcPr>
          <w:p w14:paraId="11F66FD0">
            <w:pPr>
              <w:rPr>
                <w:rFonts w:hint="default"/>
              </w:rPr>
            </w:pPr>
            <w:r>
              <w:rPr>
                <w:rFonts w:hint="default"/>
                <w:lang w:val="en-US" w:eastAsia="zh-CN"/>
              </w:rPr>
              <w:t>检查生土砖与主体框架梁柱的拉结筋、柔性连接材料。重点观察墙体接缝处是否有因结构沉降产生的裂缝。</w:t>
            </w:r>
          </w:p>
        </w:tc>
        <w:tc>
          <w:tcPr>
            <w:tcW w:w="0" w:type="auto"/>
            <w:tcBorders>
              <w:right w:val="nil"/>
            </w:tcBorders>
            <w:shd w:val="clear"/>
            <w:tcMar>
              <w:top w:w="60" w:type="dxa"/>
              <w:left w:w="120" w:type="dxa"/>
              <w:bottom w:w="60" w:type="dxa"/>
              <w:right w:w="120" w:type="dxa"/>
            </w:tcMar>
            <w:vAlign w:val="center"/>
          </w:tcPr>
          <w:p w14:paraId="6BC3D815">
            <w:pPr>
              <w:rPr>
                <w:rFonts w:hint="default"/>
              </w:rPr>
            </w:pPr>
            <w:r>
              <w:rPr>
                <w:rFonts w:hint="default"/>
                <w:lang w:val="en-US" w:eastAsia="zh-CN"/>
              </w:rPr>
              <w:t>牢固，柔性接缝完好</w:t>
            </w:r>
          </w:p>
        </w:tc>
        <w:tc>
          <w:tcPr>
            <w:tcW w:w="0" w:type="auto"/>
            <w:tcBorders>
              <w:right w:val="nil"/>
            </w:tcBorders>
            <w:shd w:val="clear"/>
            <w:tcMar>
              <w:top w:w="60" w:type="dxa"/>
              <w:left w:w="120" w:type="dxa"/>
              <w:bottom w:w="60" w:type="dxa"/>
              <w:right w:w="120" w:type="dxa"/>
            </w:tcMar>
            <w:vAlign w:val="center"/>
          </w:tcPr>
          <w:p w14:paraId="4FCEA10E">
            <w:pPr>
              <w:rPr>
                <w:rFonts w:hint="default"/>
              </w:rPr>
            </w:pPr>
            <w:r>
              <w:rPr>
                <w:rFonts w:hint="default"/>
                <w:lang w:val="en-US" w:eastAsia="zh-CN"/>
              </w:rPr>
              <w:t>李思远</w:t>
            </w:r>
          </w:p>
        </w:tc>
      </w:tr>
      <w:tr w14:paraId="3567D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right w:val="nil"/>
            </w:tcBorders>
            <w:shd w:val="clear"/>
            <w:tcMar>
              <w:top w:w="60" w:type="dxa"/>
              <w:left w:w="120" w:type="dxa"/>
              <w:bottom w:w="60" w:type="dxa"/>
              <w:right w:w="120" w:type="dxa"/>
            </w:tcMar>
            <w:vAlign w:val="center"/>
          </w:tcPr>
          <w:p w14:paraId="164BB582">
            <w:pPr>
              <w:rPr>
                <w:rFonts w:hint="default"/>
              </w:rPr>
            </w:pPr>
            <w:r>
              <w:rPr>
                <w:rFonts w:hint="default"/>
                <w:lang w:val="en-US" w:eastAsia="zh-CN"/>
              </w:rPr>
              <w:t>2026.02.10</w:t>
            </w:r>
          </w:p>
        </w:tc>
        <w:tc>
          <w:tcPr>
            <w:tcW w:w="0" w:type="auto"/>
            <w:tcBorders>
              <w:right w:val="nil"/>
            </w:tcBorders>
            <w:shd w:val="clear"/>
            <w:tcMar>
              <w:top w:w="60" w:type="dxa"/>
              <w:left w:w="120" w:type="dxa"/>
              <w:bottom w:w="60" w:type="dxa"/>
              <w:right w:w="120" w:type="dxa"/>
            </w:tcMar>
            <w:vAlign w:val="center"/>
          </w:tcPr>
          <w:p w14:paraId="314C6A0C">
            <w:pPr>
              <w:rPr>
                <w:rFonts w:hint="default"/>
              </w:rPr>
            </w:pPr>
            <w:r>
              <w:rPr>
                <w:rFonts w:hint="default"/>
                <w:lang w:val="en-US" w:eastAsia="zh-CN"/>
              </w:rPr>
              <w:t>雨水循环水幕设备</w:t>
            </w:r>
          </w:p>
        </w:tc>
        <w:tc>
          <w:tcPr>
            <w:tcW w:w="0" w:type="auto"/>
            <w:tcBorders>
              <w:right w:val="nil"/>
            </w:tcBorders>
            <w:shd w:val="clear"/>
            <w:tcMar>
              <w:top w:w="60" w:type="dxa"/>
              <w:left w:w="120" w:type="dxa"/>
              <w:bottom w:w="60" w:type="dxa"/>
              <w:right w:w="120" w:type="dxa"/>
            </w:tcMar>
            <w:vAlign w:val="center"/>
          </w:tcPr>
          <w:p w14:paraId="4D667FC4">
            <w:pPr>
              <w:rPr>
                <w:rFonts w:hint="default"/>
              </w:rPr>
            </w:pPr>
            <w:r>
              <w:rPr>
                <w:rFonts w:hint="default"/>
                <w:lang w:val="en-US" w:eastAsia="zh-CN"/>
              </w:rPr>
              <w:t>检查水幕管道支架与顶板的连接螺栓，测试泵体运行时的震动对悬挂件的影响。防止管路因微震松动。</w:t>
            </w:r>
          </w:p>
        </w:tc>
        <w:tc>
          <w:tcPr>
            <w:tcW w:w="0" w:type="auto"/>
            <w:tcBorders>
              <w:right w:val="nil"/>
            </w:tcBorders>
            <w:shd w:val="clear"/>
            <w:tcMar>
              <w:top w:w="60" w:type="dxa"/>
              <w:left w:w="120" w:type="dxa"/>
              <w:bottom w:w="60" w:type="dxa"/>
              <w:right w:w="120" w:type="dxa"/>
            </w:tcMar>
            <w:vAlign w:val="center"/>
          </w:tcPr>
          <w:p w14:paraId="4866BA77">
            <w:pPr>
              <w:rPr>
                <w:rFonts w:hint="default"/>
              </w:rPr>
            </w:pPr>
            <w:r>
              <w:rPr>
                <w:rFonts w:hint="default"/>
                <w:lang w:val="en-US" w:eastAsia="zh-CN"/>
              </w:rPr>
              <w:t>连接紧固，无渗漏</w:t>
            </w:r>
          </w:p>
        </w:tc>
        <w:tc>
          <w:tcPr>
            <w:tcW w:w="0" w:type="auto"/>
            <w:tcBorders>
              <w:right w:val="nil"/>
            </w:tcBorders>
            <w:shd w:val="clear"/>
            <w:tcMar>
              <w:top w:w="60" w:type="dxa"/>
              <w:left w:w="120" w:type="dxa"/>
              <w:bottom w:w="60" w:type="dxa"/>
              <w:right w:w="120" w:type="dxa"/>
            </w:tcMar>
            <w:vAlign w:val="center"/>
          </w:tcPr>
          <w:p w14:paraId="17D3EFC5">
            <w:pPr>
              <w:rPr>
                <w:rFonts w:hint="default"/>
              </w:rPr>
            </w:pPr>
            <w:r>
              <w:rPr>
                <w:rFonts w:hint="default"/>
                <w:lang w:val="en-US" w:eastAsia="zh-CN"/>
              </w:rPr>
              <w:t>张江浩</w:t>
            </w:r>
          </w:p>
        </w:tc>
      </w:tr>
      <w:tr w14:paraId="68210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right w:val="nil"/>
            </w:tcBorders>
            <w:shd w:val="clear"/>
            <w:tcMar>
              <w:top w:w="60" w:type="dxa"/>
              <w:left w:w="120" w:type="dxa"/>
              <w:bottom w:w="60" w:type="dxa"/>
              <w:right w:w="120" w:type="dxa"/>
            </w:tcMar>
            <w:vAlign w:val="center"/>
          </w:tcPr>
          <w:p w14:paraId="0639E5B6">
            <w:pPr>
              <w:rPr>
                <w:rFonts w:hint="default"/>
              </w:rPr>
            </w:pPr>
            <w:r>
              <w:rPr>
                <w:rFonts w:hint="default"/>
                <w:lang w:val="en-US" w:eastAsia="zh-CN"/>
              </w:rPr>
              <w:t>2026.03.05</w:t>
            </w:r>
          </w:p>
        </w:tc>
        <w:tc>
          <w:tcPr>
            <w:tcW w:w="0" w:type="auto"/>
            <w:tcBorders>
              <w:right w:val="nil"/>
            </w:tcBorders>
            <w:shd w:val="clear"/>
            <w:tcMar>
              <w:top w:w="60" w:type="dxa"/>
              <w:left w:w="120" w:type="dxa"/>
              <w:bottom w:w="60" w:type="dxa"/>
              <w:right w:w="120" w:type="dxa"/>
            </w:tcMar>
            <w:vAlign w:val="center"/>
          </w:tcPr>
          <w:p w14:paraId="72209167">
            <w:pPr>
              <w:rPr>
                <w:rFonts w:hint="default"/>
              </w:rPr>
            </w:pPr>
            <w:r>
              <w:rPr>
                <w:rFonts w:hint="default"/>
                <w:lang w:val="en-US" w:eastAsia="zh-CN"/>
              </w:rPr>
              <w:t>室内装饰挂板(GRC)</w:t>
            </w:r>
          </w:p>
        </w:tc>
        <w:tc>
          <w:tcPr>
            <w:tcW w:w="0" w:type="auto"/>
            <w:tcBorders>
              <w:right w:val="nil"/>
            </w:tcBorders>
            <w:shd w:val="clear"/>
            <w:tcMar>
              <w:top w:w="60" w:type="dxa"/>
              <w:left w:w="120" w:type="dxa"/>
              <w:bottom w:w="60" w:type="dxa"/>
              <w:right w:w="120" w:type="dxa"/>
            </w:tcMar>
            <w:vAlign w:val="center"/>
          </w:tcPr>
          <w:p w14:paraId="0D59EE5C">
            <w:pPr>
              <w:rPr>
                <w:rFonts w:hint="default"/>
              </w:rPr>
            </w:pPr>
            <w:r>
              <w:rPr>
                <w:rFonts w:hint="default"/>
                <w:lang w:val="en-US" w:eastAsia="zh-CN"/>
              </w:rPr>
              <w:t>随机抽查“音愈之地”空间的装饰挂板，检查背栓式连接件是否松动，金属龙骨防锈层是否完好。</w:t>
            </w:r>
          </w:p>
        </w:tc>
        <w:tc>
          <w:tcPr>
            <w:tcW w:w="0" w:type="auto"/>
            <w:tcBorders>
              <w:right w:val="nil"/>
            </w:tcBorders>
            <w:shd w:val="clear"/>
            <w:tcMar>
              <w:top w:w="60" w:type="dxa"/>
              <w:left w:w="120" w:type="dxa"/>
              <w:bottom w:w="60" w:type="dxa"/>
              <w:right w:w="120" w:type="dxa"/>
            </w:tcMar>
            <w:vAlign w:val="center"/>
          </w:tcPr>
          <w:p w14:paraId="6DE4F393">
            <w:pPr>
              <w:rPr>
                <w:rFonts w:hint="default"/>
              </w:rPr>
            </w:pPr>
            <w:r>
              <w:rPr>
                <w:rFonts w:hint="default"/>
                <w:lang w:val="en-US" w:eastAsia="zh-CN"/>
              </w:rPr>
              <w:t>合格，抗震连接正常</w:t>
            </w:r>
          </w:p>
        </w:tc>
        <w:tc>
          <w:tcPr>
            <w:tcW w:w="0" w:type="auto"/>
            <w:tcBorders>
              <w:right w:val="nil"/>
            </w:tcBorders>
            <w:shd w:val="clear"/>
            <w:tcMar>
              <w:top w:w="60" w:type="dxa"/>
              <w:left w:w="120" w:type="dxa"/>
              <w:bottom w:w="60" w:type="dxa"/>
              <w:right w:w="120" w:type="dxa"/>
            </w:tcMar>
            <w:vAlign w:val="center"/>
          </w:tcPr>
          <w:p w14:paraId="62B48B24">
            <w:pPr>
              <w:rPr>
                <w:rFonts w:hint="default"/>
              </w:rPr>
            </w:pPr>
            <w:r>
              <w:rPr>
                <w:rFonts w:hint="default"/>
                <w:lang w:val="en-US" w:eastAsia="zh-CN"/>
              </w:rPr>
              <w:t>范晓雨</w:t>
            </w:r>
          </w:p>
        </w:tc>
      </w:tr>
      <w:tr w14:paraId="16AB5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right w:val="nil"/>
            </w:tcBorders>
            <w:shd w:val="clear"/>
            <w:tcMar>
              <w:top w:w="60" w:type="dxa"/>
              <w:left w:w="120" w:type="dxa"/>
              <w:bottom w:w="60" w:type="dxa"/>
              <w:right w:w="120" w:type="dxa"/>
            </w:tcMar>
            <w:vAlign w:val="center"/>
          </w:tcPr>
          <w:p w14:paraId="32F84E9D">
            <w:pPr>
              <w:rPr>
                <w:rFonts w:hint="default"/>
              </w:rPr>
            </w:pPr>
            <w:r>
              <w:rPr>
                <w:rFonts w:hint="default"/>
                <w:lang w:val="en-US" w:eastAsia="zh-CN"/>
              </w:rPr>
              <w:t>2026.03.20</w:t>
            </w:r>
          </w:p>
        </w:tc>
        <w:tc>
          <w:tcPr>
            <w:tcW w:w="0" w:type="auto"/>
            <w:tcBorders>
              <w:right w:val="nil"/>
            </w:tcBorders>
            <w:shd w:val="clear"/>
            <w:tcMar>
              <w:top w:w="60" w:type="dxa"/>
              <w:left w:w="120" w:type="dxa"/>
              <w:bottom w:w="60" w:type="dxa"/>
              <w:right w:w="120" w:type="dxa"/>
            </w:tcMar>
            <w:vAlign w:val="center"/>
          </w:tcPr>
          <w:p w14:paraId="7A6D3DD9">
            <w:pPr>
              <w:rPr>
                <w:rFonts w:hint="default"/>
              </w:rPr>
            </w:pPr>
            <w:r>
              <w:rPr>
                <w:rFonts w:hint="default"/>
                <w:lang w:val="en-US" w:eastAsia="zh-CN"/>
              </w:rPr>
              <w:t>交互式传感器与灯光</w:t>
            </w:r>
          </w:p>
        </w:tc>
        <w:tc>
          <w:tcPr>
            <w:tcW w:w="0" w:type="auto"/>
            <w:tcBorders>
              <w:right w:val="nil"/>
            </w:tcBorders>
            <w:shd w:val="clear"/>
            <w:tcMar>
              <w:top w:w="60" w:type="dxa"/>
              <w:left w:w="120" w:type="dxa"/>
              <w:bottom w:w="60" w:type="dxa"/>
              <w:right w:w="120" w:type="dxa"/>
            </w:tcMar>
            <w:vAlign w:val="center"/>
          </w:tcPr>
          <w:p w14:paraId="3700960E">
            <w:pPr>
              <w:rPr>
                <w:rFonts w:hint="default"/>
              </w:rPr>
            </w:pPr>
            <w:r>
              <w:rPr>
                <w:rFonts w:hint="default"/>
                <w:lang w:val="en-US" w:eastAsia="zh-CN"/>
              </w:rPr>
              <w:t>检查埋设于覆土建筑天窗边缘的感应元件，确保支座能适应屋面覆土压力下的轻微挠度变形。</w:t>
            </w:r>
          </w:p>
        </w:tc>
        <w:tc>
          <w:tcPr>
            <w:tcW w:w="0" w:type="auto"/>
            <w:tcBorders>
              <w:right w:val="nil"/>
            </w:tcBorders>
            <w:shd w:val="clear"/>
            <w:tcMar>
              <w:top w:w="60" w:type="dxa"/>
              <w:left w:w="120" w:type="dxa"/>
              <w:bottom w:w="60" w:type="dxa"/>
              <w:right w:w="120" w:type="dxa"/>
            </w:tcMar>
            <w:vAlign w:val="center"/>
          </w:tcPr>
          <w:p w14:paraId="798E1BA5">
            <w:pPr>
              <w:rPr>
                <w:rFonts w:hint="default"/>
              </w:rPr>
            </w:pPr>
            <w:r>
              <w:rPr>
                <w:rFonts w:hint="default"/>
                <w:lang w:val="en-US" w:eastAsia="zh-CN"/>
              </w:rPr>
              <w:t>运行正常，位置精准</w:t>
            </w:r>
          </w:p>
        </w:tc>
        <w:tc>
          <w:tcPr>
            <w:tcW w:w="0" w:type="auto"/>
            <w:tcBorders>
              <w:right w:val="nil"/>
            </w:tcBorders>
            <w:shd w:val="clear"/>
            <w:tcMar>
              <w:top w:w="60" w:type="dxa"/>
              <w:left w:w="120" w:type="dxa"/>
              <w:bottom w:w="60" w:type="dxa"/>
              <w:right w:w="120" w:type="dxa"/>
            </w:tcMar>
            <w:vAlign w:val="center"/>
          </w:tcPr>
          <w:p w14:paraId="2754CFC3">
            <w:pPr>
              <w:rPr>
                <w:rFonts w:hint="default"/>
              </w:rPr>
            </w:pPr>
            <w:r>
              <w:rPr>
                <w:rFonts w:hint="default"/>
                <w:lang w:val="en-US" w:eastAsia="zh-CN"/>
              </w:rPr>
              <w:t>徐增娜</w:t>
            </w:r>
          </w:p>
        </w:tc>
      </w:tr>
    </w:tbl>
    <w:p w14:paraId="10489C80">
      <w:pPr>
        <w:rPr>
          <w:rFonts w:hint="default"/>
        </w:rPr>
      </w:pPr>
      <w:r>
        <w:rPr>
          <w:rFonts w:hint="default"/>
        </w:rPr>
        <w:t>三、 重点技术部位维护说明（针对4.1.4条文）</w:t>
      </w:r>
    </w:p>
    <w:p w14:paraId="41191928">
      <w:pPr>
        <w:rPr>
          <w:rFonts w:hint="default"/>
        </w:rPr>
      </w:pPr>
      <w:r>
        <w:rPr>
          <w:rFonts w:hint="default"/>
        </w:rPr>
        <w:t>1. 柔性连接管理（适应结构变形）</w:t>
      </w:r>
    </w:p>
    <w:p w14:paraId="3A3A5C77">
      <w:pPr>
        <w:rPr>
          <w:rFonts w:hint="default"/>
        </w:rPr>
      </w:pPr>
      <w:r>
        <w:rPr>
          <w:rFonts w:hint="default"/>
        </w:rPr>
        <w:t>康养中心内部的大面积生土隔墙与主体混凝土框架之间采用了柔性密封连接。管理记录显示，每半年进行一次密封胶的弹性检查，确保在结构产生温差变形或轻微地震时，非结构构件能通过柔性界面消耗能量，不产生刚性破坏或脱落。</w:t>
      </w:r>
    </w:p>
    <w:p w14:paraId="746B29A1">
      <w:pPr>
        <w:rPr>
          <w:rFonts w:hint="default"/>
        </w:rPr>
      </w:pPr>
      <w:r>
        <w:rPr>
          <w:rFonts w:hint="default"/>
        </w:rPr>
        <w:t>2. 悬挂设备防坠落复核</w:t>
      </w:r>
    </w:p>
    <w:p w14:paraId="233BA05D">
      <w:pPr>
        <w:rPr>
          <w:rFonts w:hint="default"/>
        </w:rPr>
      </w:pPr>
      <w:r>
        <w:rPr>
          <w:rFonts w:hint="default"/>
        </w:rPr>
        <w:t>针对“会呼吸的庭院”顶部的雨水收集斗及大型水幕构件，运营部建立了**“双保险”连接档案**。除主胀栓连接外，增设了不锈钢保险缆索。维修记录确认，所有悬挂构件的连接点均经过抗震模拟验算，并符合《建筑抗震设计规范》GB 50011 要求。</w:t>
      </w:r>
    </w:p>
    <w:p w14:paraId="3964F6F9">
      <w:pPr>
        <w:rPr>
          <w:rFonts w:hint="default"/>
        </w:rPr>
      </w:pPr>
      <w:r>
        <w:rPr>
          <w:rFonts w:hint="default"/>
        </w:rPr>
        <w:t>3. 潮湿环境连接件防腐</w:t>
      </w:r>
    </w:p>
    <w:p w14:paraId="76E1AFE8">
      <w:pPr>
        <w:rPr>
          <w:rFonts w:hint="default"/>
        </w:rPr>
      </w:pPr>
      <w:r>
        <w:rPr>
          <w:rFonts w:hint="default"/>
        </w:rPr>
        <w:t>由于建筑内包含大量循环水景（水幕、雨水净化池），连接件长期处于高湿度环境。管理制度要求对所有非结构件的金属支架进行氟碳喷涂防腐处理，巡检记录显示目前无锈蚀、无应力腐蚀断裂风险。</w:t>
      </w:r>
    </w:p>
    <w:p w14:paraId="61F24890">
      <w:pPr>
        <w:rPr>
          <w:rFonts w:hint="default"/>
        </w:rPr>
      </w:pPr>
      <w:r>
        <w:rPr>
          <w:rFonts w:hint="default"/>
        </w:rPr>
        <w:t>四、 应急响应预案</w:t>
      </w:r>
    </w:p>
    <w:p w14:paraId="1A6707A2">
      <w:pPr>
        <w:rPr>
          <w:rFonts w:hint="default"/>
        </w:rPr>
      </w:pPr>
      <w:r>
        <w:rPr>
          <w:rFonts w:hint="default"/>
        </w:rPr>
        <w:t>若发生地震、强风或暴雨等突发状况，运营部需在1小时内对全院非结构构件进行专项排查：</w:t>
      </w:r>
    </w:p>
    <w:p w14:paraId="037F8A6E">
      <w:pPr>
        <w:rPr>
          <w:rFonts w:hint="default"/>
        </w:rPr>
      </w:pPr>
    </w:p>
    <w:p w14:paraId="35BBB53B">
      <w:pPr>
        <w:rPr>
          <w:rFonts w:hint="default"/>
        </w:rPr>
      </w:pPr>
      <w:r>
        <w:rPr>
          <w:rFonts w:hint="default"/>
        </w:rPr>
        <w:t>A级区域： 断崖边护栏标识、中庭高空水幕。</w:t>
      </w:r>
    </w:p>
    <w:p w14:paraId="3E47E75B">
      <w:pPr>
        <w:rPr>
          <w:rFonts w:hint="default"/>
        </w:rPr>
      </w:pPr>
    </w:p>
    <w:p w14:paraId="31D9933E">
      <w:pPr>
        <w:rPr>
          <w:rFonts w:hint="default"/>
        </w:rPr>
      </w:pPr>
    </w:p>
    <w:p w14:paraId="379AF9CF">
      <w:pPr>
        <w:rPr>
          <w:rFonts w:hint="default"/>
        </w:rPr>
      </w:pPr>
      <w:r>
        <w:rPr>
          <w:rFonts w:hint="default"/>
        </w:rPr>
        <w:t>B级区域： 生土呼吸墙、康养室吊顶。</w:t>
      </w:r>
    </w:p>
    <w:p w14:paraId="1BE38754">
      <w:pPr>
        <w:rPr>
          <w:rFonts w:hint="default"/>
        </w:rPr>
      </w:pPr>
    </w:p>
    <w:p w14:paraId="34621B9B">
      <w:pPr>
        <w:rPr>
          <w:rFonts w:hint="default"/>
        </w:rPr>
      </w:pPr>
    </w:p>
    <w:p w14:paraId="716E856C">
      <w:pPr>
        <w:rPr>
          <w:rFonts w:hint="default"/>
        </w:rPr>
      </w:pPr>
      <w:r>
        <w:rPr>
          <w:rFonts w:hint="default"/>
        </w:rPr>
        <w:t>检查重点： 锚固螺栓是否有松动、焊缝是否有裂纹、挂板是否有移位。</w:t>
      </w:r>
    </w:p>
    <w:p w14:paraId="4CC13BAB">
      <w:pPr>
        <w:rPr>
          <w:rFonts w:hint="default"/>
        </w:rPr>
      </w:pPr>
    </w:p>
    <w:p w14:paraId="7F0718AD">
      <w:pPr>
        <w:rPr>
          <w:rFonts w:hint="default"/>
        </w:rPr>
      </w:pPr>
      <w:r>
        <w:rPr>
          <w:rFonts w:hint="default"/>
        </w:rPr>
        <w:t>五、 结论</w:t>
      </w:r>
    </w:p>
    <w:p w14:paraId="25D4649D">
      <w:r>
        <w:rPr>
          <w:rFonts w:hint="default"/>
        </w:rPr>
        <w:t>经系统巡检与专业维护，作品《見逢岁聿》内部的所有非结构构件、设备及附属设施连接方式科学合理，能够有效适应主体结构变形。维护记录详实，系统运行稳定，符合绿色建筑评价标准 4.1.4 条文的安全要求。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ans-serif">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9724EA"/>
    <w:rsid w:val="2F9724EA"/>
    <w:rsid w:val="57900337"/>
    <w:rsid w:val="5AD40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1628</Words>
  <Characters>1871</Characters>
  <Lines>0</Lines>
  <Paragraphs>0</Paragraphs>
  <TotalTime>3</TotalTime>
  <ScaleCrop>false</ScaleCrop>
  <LinksUpToDate>false</LinksUpToDate>
  <CharactersWithSpaces>2186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2026-03-30T10:32:00Z</dcterms:created>
  <dc:creator>每天睡不饱</dc:creator>
  <cp:lastModifiedBy>nana</cp:lastModifiedBy>
  <dcterms:modified xsi:type="dcterms:W3CDTF">2026-03-30T10:48:54Z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6A88EF126EA3466380B8ACCE52C25B88_13</vt:lpwstr>
  </property>
  <property fmtid="{D5CDD505-2E9C-101B-9397-08002B2CF9AE}" pid="4" name="KSOTemplateDocerSaveRecord">
    <vt:lpwstr>eyJoZGlkIjoiMzk1MGNkNTQ0Yjk4NjQ4ZGFiOWUxZTU3ZDhmMGE5NDgiLCJ1c2VySWQiOiI4OTU4Mjg4NDEifQ==</vt:lpwstr>
  </property>
</Properties>
</file>