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成都市第十五幼儿园幸福桥分园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围护结构提高20%或负荷降低6%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180.0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总得分：Q=（Q0+Q1+Q2+Q3+Q4+Q5+QA）/10=103.8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