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0"/>
              </w:rPr>
              <w:t>建筑碳排放报告</w:t>
            </w:r>
            <w:r>
              <w:rPr>
                <w:rFonts w:hint="eastAsia" w:ascii="微软雅黑" w:hAnsi="微软雅黑" w:eastAsia="微软雅黑"/>
                <w:b/>
                <w:spacing w:val="6"/>
                <w:kern w:val="0"/>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云南-普洱-孟连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bookmarkStart w:id="5" w:name="建设单位"/>
            <w:bookmarkEnd w:id="5"/>
            <w:r>
              <w:rPr>
                <w:rFonts w:hint="eastAsia" w:ascii="微软雅黑" w:hAnsi="微软雅黑" w:eastAsia="微软雅黑"/>
                <w:kern w:val="2"/>
                <w:sz w:val="24"/>
                <w:szCs w:val="24"/>
                <w:lang w:val="en-US" w:eastAsia="zh-CN"/>
              </w:rPr>
              <w:t>普洱学院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bookmarkStart w:id="6" w:name="设计单位"/>
            <w:bookmarkEnd w:id="6"/>
            <w:r>
              <w:rPr>
                <w:rFonts w:hint="eastAsia" w:ascii="微软雅黑" w:hAnsi="微软雅黑" w:eastAsia="微软雅黑"/>
                <w:kern w:val="2"/>
                <w:sz w:val="24"/>
                <w:szCs w:val="24"/>
                <w:lang w:val="en-US" w:eastAsia="zh-CN"/>
              </w:rPr>
              <w:t>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bookmarkStart w:id="113" w:name="_GoBack"/>
            <w:bookmarkEnd w:id="11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2026年3月28日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T18895987967</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_Toc1973 </w:instrText>
      </w:r>
      <w:r>
        <w:rPr>
          <w:rFonts w:ascii="宋体" w:hAnsi="宋体"/>
          <w:bCs w:val="0"/>
          <w:caps/>
        </w:rPr>
        <w:fldChar w:fldCharType="separate"/>
      </w:r>
      <w:r>
        <w:rPr>
          <w:rFonts w:hint="eastAsia"/>
        </w:rPr>
        <w:t>1 建筑概况</w:t>
      </w:r>
      <w:r>
        <w:tab/>
      </w:r>
      <w:r>
        <w:fldChar w:fldCharType="begin"/>
      </w:r>
      <w:r>
        <w:instrText xml:space="preserve"> PAGEREF _Toc1973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_Toc971 </w:instrText>
      </w:r>
      <w:r>
        <w:fldChar w:fldCharType="separate"/>
      </w:r>
      <w:r>
        <w:rPr>
          <w:rFonts w:hint="eastAsia"/>
        </w:rPr>
        <w:t>2 标准依据</w:t>
      </w:r>
      <w:r>
        <w:tab/>
      </w:r>
      <w:r>
        <w:fldChar w:fldCharType="begin"/>
      </w:r>
      <w:r>
        <w:instrText xml:space="preserve"> PAGEREF _Toc971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_Toc20571 </w:instrText>
      </w:r>
      <w:r>
        <w:fldChar w:fldCharType="separate"/>
      </w:r>
      <w:r>
        <w:rPr>
          <w:rFonts w:hint="eastAsia"/>
        </w:rPr>
        <w:t>3 软件介绍</w:t>
      </w:r>
      <w:r>
        <w:tab/>
      </w:r>
      <w:r>
        <w:fldChar w:fldCharType="begin"/>
      </w:r>
      <w:r>
        <w:instrText xml:space="preserve"> PAGEREF _Toc20571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_Toc7331 </w:instrText>
      </w:r>
      <w:r>
        <w:fldChar w:fldCharType="separate"/>
      </w:r>
      <w:r>
        <w:rPr>
          <w:rFonts w:hint="eastAsia"/>
        </w:rPr>
        <w:t>4 气象数据</w:t>
      </w:r>
      <w:r>
        <w:tab/>
      </w:r>
      <w:r>
        <w:fldChar w:fldCharType="begin"/>
      </w:r>
      <w:r>
        <w:instrText xml:space="preserve"> PAGEREF _Toc7331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_Toc1169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_Toc1169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_Toc32358 </w:instrText>
      </w:r>
      <w:r>
        <w:fldChar w:fldCharType="separate"/>
      </w:r>
      <w:r>
        <w:rPr>
          <w:rFonts w:hint="eastAsia"/>
          <w:lang w:val="en-GB"/>
        </w:rPr>
        <w:t xml:space="preserve">4.2 </w:t>
      </w:r>
      <w:r>
        <w:rPr>
          <w:rFonts w:hint="eastAsia"/>
        </w:rPr>
        <w:t>逐月辐照量表</w:t>
      </w:r>
      <w:r>
        <w:tab/>
      </w:r>
      <w:r>
        <w:fldChar w:fldCharType="begin"/>
      </w:r>
      <w:r>
        <w:instrText xml:space="preserve"> PAGEREF _Toc32358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_Toc29751 </w:instrText>
      </w:r>
      <w:r>
        <w:fldChar w:fldCharType="separate"/>
      </w:r>
      <w:r>
        <w:rPr>
          <w:rFonts w:hint="eastAsia"/>
          <w:lang w:val="en-GB"/>
        </w:rPr>
        <w:t xml:space="preserve">4.3 </w:t>
      </w:r>
      <w:r>
        <w:rPr>
          <w:rFonts w:hint="eastAsia"/>
        </w:rPr>
        <w:t>峰值工况</w:t>
      </w:r>
      <w:r>
        <w:tab/>
      </w:r>
      <w:r>
        <w:fldChar w:fldCharType="begin"/>
      </w:r>
      <w:r>
        <w:instrText xml:space="preserve"> PAGEREF _Toc29751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_Toc16456 </w:instrText>
      </w:r>
      <w:r>
        <w:fldChar w:fldCharType="separate"/>
      </w:r>
      <w:r>
        <w:rPr>
          <w:rFonts w:hint="eastAsia"/>
        </w:rPr>
        <w:t xml:space="preserve">5 </w:t>
      </w:r>
      <w:r>
        <w:t>围护结构</w:t>
      </w:r>
      <w:r>
        <w:tab/>
      </w:r>
      <w:r>
        <w:fldChar w:fldCharType="begin"/>
      </w:r>
      <w:r>
        <w:instrText xml:space="preserve"> PAGEREF _Toc16456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_Toc3387 </w:instrText>
      </w:r>
      <w:r>
        <w:fldChar w:fldCharType="separate"/>
      </w:r>
      <w:r>
        <w:rPr>
          <w:rFonts w:hint="eastAsia"/>
          <w:lang w:val="en-GB"/>
        </w:rPr>
        <w:t xml:space="preserve">5.1 </w:t>
      </w:r>
      <w:r>
        <w:t>工程材料</w:t>
      </w:r>
      <w:r>
        <w:tab/>
      </w:r>
      <w:r>
        <w:fldChar w:fldCharType="begin"/>
      </w:r>
      <w:r>
        <w:instrText xml:space="preserve"> PAGEREF _Toc3387 \h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_Toc9691 </w:instrText>
      </w:r>
      <w:r>
        <w:fldChar w:fldCharType="separate"/>
      </w:r>
      <w:r>
        <w:rPr>
          <w:rFonts w:hint="eastAsia" w:eastAsia="宋体"/>
          <w:szCs w:val="24"/>
          <w:lang w:val="en-GB"/>
        </w:rPr>
        <w:t xml:space="preserve">5.1.1 </w:t>
      </w:r>
      <w:r>
        <w:t>普通材料</w:t>
      </w:r>
      <w:r>
        <w:tab/>
      </w:r>
      <w:r>
        <w:fldChar w:fldCharType="begin"/>
      </w:r>
      <w:r>
        <w:instrText xml:space="preserve"> PAGEREF _Toc9691 \h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_Toc25794 </w:instrText>
      </w:r>
      <w:r>
        <w:fldChar w:fldCharType="separate"/>
      </w:r>
      <w:r>
        <w:rPr>
          <w:rFonts w:hint="eastAsia" w:eastAsia="宋体"/>
          <w:szCs w:val="24"/>
          <w:lang w:val="en-GB"/>
        </w:rPr>
        <w:t xml:space="preserve">5.1.2 </w:t>
      </w:r>
      <w:r>
        <w:t>其他材料</w:t>
      </w:r>
      <w:r>
        <w:tab/>
      </w:r>
      <w:r>
        <w:fldChar w:fldCharType="begin"/>
      </w:r>
      <w:r>
        <w:instrText xml:space="preserve"> PAGEREF _Toc25794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_Toc14375 </w:instrText>
      </w:r>
      <w:r>
        <w:fldChar w:fldCharType="separate"/>
      </w:r>
      <w:r>
        <w:rPr>
          <w:rFonts w:hint="eastAsia"/>
          <w:lang w:val="en-GB"/>
        </w:rPr>
        <w:t xml:space="preserve">5.2 </w:t>
      </w:r>
      <w:r>
        <w:t>围护结构作法简要说明</w:t>
      </w:r>
      <w:r>
        <w:tab/>
      </w:r>
      <w:r>
        <w:fldChar w:fldCharType="begin"/>
      </w:r>
      <w:r>
        <w:instrText xml:space="preserve"> PAGEREF _Toc14375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_Toc20062 </w:instrText>
      </w:r>
      <w:r>
        <w:fldChar w:fldCharType="separate"/>
      </w:r>
      <w:r>
        <w:rPr>
          <w:rFonts w:hint="eastAsia"/>
        </w:rPr>
        <w:t xml:space="preserve">6 </w:t>
      </w:r>
      <w:r>
        <w:t>房间类型</w:t>
      </w:r>
      <w:r>
        <w:tab/>
      </w:r>
      <w:r>
        <w:fldChar w:fldCharType="begin"/>
      </w:r>
      <w:r>
        <w:instrText xml:space="preserve"> PAGEREF _Toc20062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_Toc22644 </w:instrText>
      </w:r>
      <w:r>
        <w:fldChar w:fldCharType="separate"/>
      </w:r>
      <w:r>
        <w:rPr>
          <w:rFonts w:hint="eastAsia"/>
          <w:lang w:val="en-GB"/>
        </w:rPr>
        <w:t xml:space="preserve">6.1 </w:t>
      </w:r>
      <w:r>
        <w:t>房间参数表</w:t>
      </w:r>
      <w:r>
        <w:tab/>
      </w:r>
      <w:r>
        <w:fldChar w:fldCharType="begin"/>
      </w:r>
      <w:r>
        <w:instrText xml:space="preserve"> PAGEREF _Toc22644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_Toc6704 </w:instrText>
      </w:r>
      <w:r>
        <w:fldChar w:fldCharType="separate"/>
      </w:r>
      <w:r>
        <w:rPr>
          <w:rFonts w:hint="eastAsia"/>
          <w:lang w:val="en-GB"/>
        </w:rPr>
        <w:t xml:space="preserve">6.2 </w:t>
      </w:r>
      <w:r>
        <w:t>作息时间表</w:t>
      </w:r>
      <w:r>
        <w:tab/>
      </w:r>
      <w:r>
        <w:fldChar w:fldCharType="begin"/>
      </w:r>
      <w:r>
        <w:instrText xml:space="preserve"> PAGEREF _Toc6704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_Toc8820 </w:instrText>
      </w:r>
      <w:r>
        <w:fldChar w:fldCharType="separate"/>
      </w:r>
      <w:r>
        <w:rPr>
          <w:rFonts w:hint="eastAsia"/>
        </w:rPr>
        <w:t xml:space="preserve">7 </w:t>
      </w:r>
      <w:r>
        <w:t>系统类型</w:t>
      </w:r>
      <w:r>
        <w:tab/>
      </w:r>
      <w:r>
        <w:fldChar w:fldCharType="begin"/>
      </w:r>
      <w:r>
        <w:instrText xml:space="preserve"> PAGEREF _Toc8820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_Toc6379 </w:instrText>
      </w:r>
      <w:r>
        <w:fldChar w:fldCharType="separate"/>
      </w:r>
      <w:r>
        <w:rPr>
          <w:rFonts w:hint="eastAsia"/>
          <w:lang w:val="en-GB"/>
        </w:rPr>
        <w:t xml:space="preserve">7.1 </w:t>
      </w:r>
      <w:r>
        <w:t>系统分区</w:t>
      </w:r>
      <w:r>
        <w:tab/>
      </w:r>
      <w:r>
        <w:fldChar w:fldCharType="begin"/>
      </w:r>
      <w:r>
        <w:instrText xml:space="preserve"> PAGEREF _Toc6379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_Toc24754 </w:instrText>
      </w:r>
      <w:r>
        <w:fldChar w:fldCharType="separate"/>
      </w:r>
      <w:r>
        <w:rPr>
          <w:rFonts w:hint="eastAsia"/>
          <w:lang w:val="en-GB"/>
        </w:rPr>
        <w:t xml:space="preserve">7.2 </w:t>
      </w:r>
      <w:r>
        <w:t>热回收参数</w:t>
      </w:r>
      <w:r>
        <w:tab/>
      </w:r>
      <w:r>
        <w:fldChar w:fldCharType="begin"/>
      </w:r>
      <w:r>
        <w:instrText xml:space="preserve"> PAGEREF _Toc24754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_Toc15626 </w:instrText>
      </w:r>
      <w:r>
        <w:fldChar w:fldCharType="separate"/>
      </w:r>
      <w:r>
        <w:rPr>
          <w:rFonts w:hint="eastAsia"/>
        </w:rPr>
        <w:t xml:space="preserve">8 </w:t>
      </w:r>
      <w:r>
        <w:t>制冷系统</w:t>
      </w:r>
      <w:r>
        <w:tab/>
      </w:r>
      <w:r>
        <w:fldChar w:fldCharType="begin"/>
      </w:r>
      <w:r>
        <w:instrText xml:space="preserve"> PAGEREF _Toc15626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_Toc11625 </w:instrText>
      </w:r>
      <w:r>
        <w:fldChar w:fldCharType="separate"/>
      </w:r>
      <w:r>
        <w:rPr>
          <w:rFonts w:hint="eastAsia"/>
        </w:rPr>
        <w:t xml:space="preserve">9 </w:t>
      </w:r>
      <w:r>
        <w:t>空调风机</w:t>
      </w:r>
      <w:r>
        <w:tab/>
      </w:r>
      <w:r>
        <w:fldChar w:fldCharType="begin"/>
      </w:r>
      <w:r>
        <w:instrText xml:space="preserve"> PAGEREF _Toc11625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_Toc10950 </w:instrText>
      </w:r>
      <w:r>
        <w:fldChar w:fldCharType="separate"/>
      </w:r>
      <w:r>
        <w:rPr>
          <w:rFonts w:hint="eastAsia"/>
        </w:rPr>
        <w:t xml:space="preserve">10 </w:t>
      </w:r>
      <w:r>
        <w:t>照明</w:t>
      </w:r>
      <w:r>
        <w:tab/>
      </w:r>
      <w:r>
        <w:fldChar w:fldCharType="begin"/>
      </w:r>
      <w:r>
        <w:instrText xml:space="preserve"> PAGEREF _Toc10950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_Toc27446 </w:instrText>
      </w:r>
      <w:r>
        <w:fldChar w:fldCharType="separate"/>
      </w:r>
      <w:r>
        <w:rPr>
          <w:rFonts w:hint="eastAsia"/>
        </w:rPr>
        <w:t xml:space="preserve">11 </w:t>
      </w:r>
      <w:r>
        <w:t>光伏发电</w:t>
      </w:r>
      <w:r>
        <w:tab/>
      </w:r>
      <w:r>
        <w:fldChar w:fldCharType="begin"/>
      </w:r>
      <w:r>
        <w:instrText xml:space="preserve"> PAGEREF _Toc27446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_Toc21631 </w:instrText>
      </w:r>
      <w:r>
        <w:fldChar w:fldCharType="separate"/>
      </w:r>
      <w:r>
        <w:rPr>
          <w:rFonts w:hint="eastAsia"/>
        </w:rPr>
        <w:t xml:space="preserve">12 </w:t>
      </w:r>
      <w:r>
        <w:t>计算结果</w:t>
      </w:r>
      <w:r>
        <w:tab/>
      </w:r>
      <w:r>
        <w:fldChar w:fldCharType="begin"/>
      </w:r>
      <w:r>
        <w:instrText xml:space="preserve"> PAGEREF _Toc21631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_Toc23621 </w:instrText>
      </w:r>
      <w:r>
        <w:fldChar w:fldCharType="separate"/>
      </w:r>
      <w:r>
        <w:rPr>
          <w:rFonts w:hint="eastAsia"/>
          <w:lang w:val="en-GB"/>
        </w:rPr>
        <w:t xml:space="preserve">12.1 </w:t>
      </w:r>
      <w:r>
        <w:t>建材生产运输碳排放</w:t>
      </w:r>
      <w:r>
        <w:tab/>
      </w:r>
      <w:r>
        <w:fldChar w:fldCharType="begin"/>
      </w:r>
      <w:r>
        <w:instrText xml:space="preserve"> PAGEREF _Toc23621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_Toc28607 </w:instrText>
      </w:r>
      <w:r>
        <w:fldChar w:fldCharType="separate"/>
      </w:r>
      <w:r>
        <w:rPr>
          <w:rFonts w:hint="eastAsia" w:eastAsia="宋体"/>
          <w:szCs w:val="24"/>
          <w:lang w:val="en-GB"/>
        </w:rPr>
        <w:t xml:space="preserve">12.1.1 </w:t>
      </w:r>
      <w:r>
        <w:t>建材生产阶段</w:t>
      </w:r>
      <w:r>
        <w:tab/>
      </w:r>
      <w:r>
        <w:fldChar w:fldCharType="begin"/>
      </w:r>
      <w:r>
        <w:instrText xml:space="preserve"> PAGEREF _Toc28607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_Toc5089 </w:instrText>
      </w:r>
      <w:r>
        <w:fldChar w:fldCharType="separate"/>
      </w:r>
      <w:r>
        <w:rPr>
          <w:rFonts w:hint="eastAsia" w:eastAsia="宋体"/>
          <w:szCs w:val="24"/>
          <w:lang w:val="en-GB"/>
        </w:rPr>
        <w:t xml:space="preserve">12.1.2 </w:t>
      </w:r>
      <w:r>
        <w:t>建材运输阶段</w:t>
      </w:r>
      <w:r>
        <w:tab/>
      </w:r>
      <w:r>
        <w:fldChar w:fldCharType="begin"/>
      </w:r>
      <w:r>
        <w:instrText xml:space="preserve"> PAGEREF _Toc5089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_Toc12028 </w:instrText>
      </w:r>
      <w:r>
        <w:fldChar w:fldCharType="separate"/>
      </w:r>
      <w:r>
        <w:rPr>
          <w:rFonts w:hint="eastAsia"/>
          <w:lang w:val="en-GB"/>
        </w:rPr>
        <w:t xml:space="preserve">12.2 </w:t>
      </w:r>
      <w:r>
        <w:t>建筑建造拆除碳排放</w:t>
      </w:r>
      <w:r>
        <w:tab/>
      </w:r>
      <w:r>
        <w:fldChar w:fldCharType="begin"/>
      </w:r>
      <w:r>
        <w:instrText xml:space="preserve"> PAGEREF _Toc12028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_Toc7573 </w:instrText>
      </w:r>
      <w:r>
        <w:fldChar w:fldCharType="separate"/>
      </w:r>
      <w:r>
        <w:rPr>
          <w:rFonts w:hint="eastAsia" w:eastAsia="宋体"/>
          <w:szCs w:val="24"/>
          <w:lang w:val="en-GB"/>
        </w:rPr>
        <w:t xml:space="preserve">12.2.1 </w:t>
      </w:r>
      <w:r>
        <w:t>建筑建造</w:t>
      </w:r>
      <w:r>
        <w:tab/>
      </w:r>
      <w:r>
        <w:fldChar w:fldCharType="begin"/>
      </w:r>
      <w:r>
        <w:instrText xml:space="preserve"> PAGEREF _Toc7573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_Toc20163 </w:instrText>
      </w:r>
      <w:r>
        <w:fldChar w:fldCharType="separate"/>
      </w:r>
      <w:r>
        <w:rPr>
          <w:rFonts w:hint="eastAsia" w:eastAsia="宋体"/>
          <w:szCs w:val="24"/>
          <w:lang w:val="en-GB"/>
        </w:rPr>
        <w:t xml:space="preserve">12.2.2 </w:t>
      </w:r>
      <w:r>
        <w:t>建筑拆除</w:t>
      </w:r>
      <w:r>
        <w:tab/>
      </w:r>
      <w:r>
        <w:fldChar w:fldCharType="begin"/>
      </w:r>
      <w:r>
        <w:instrText xml:space="preserve"> PAGEREF _Toc20163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_Toc20027 </w:instrText>
      </w:r>
      <w:r>
        <w:fldChar w:fldCharType="separate"/>
      </w:r>
      <w:r>
        <w:rPr>
          <w:rFonts w:hint="eastAsia"/>
          <w:lang w:val="en-GB"/>
        </w:rPr>
        <w:t xml:space="preserve">12.3 </w:t>
      </w:r>
      <w:r>
        <w:t>碳汇</w:t>
      </w:r>
      <w:r>
        <w:tab/>
      </w:r>
      <w:r>
        <w:fldChar w:fldCharType="begin"/>
      </w:r>
      <w:r>
        <w:instrText xml:space="preserve"> PAGEREF _Toc20027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_Toc14588 </w:instrText>
      </w:r>
      <w:r>
        <w:fldChar w:fldCharType="separate"/>
      </w:r>
      <w:r>
        <w:rPr>
          <w:rFonts w:hint="eastAsia"/>
          <w:lang w:val="en-GB"/>
        </w:rPr>
        <w:t xml:space="preserve">12.4 </w:t>
      </w:r>
      <w:r>
        <w:t>建筑运行碳排放</w:t>
      </w:r>
      <w:r>
        <w:tab/>
      </w:r>
      <w:r>
        <w:fldChar w:fldCharType="begin"/>
      </w:r>
      <w:r>
        <w:instrText xml:space="preserve"> PAGEREF _Toc14588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_Toc5810 </w:instrText>
      </w:r>
      <w:r>
        <w:fldChar w:fldCharType="separate"/>
      </w:r>
      <w:r>
        <w:rPr>
          <w:rFonts w:hint="eastAsia"/>
          <w:lang w:val="en-GB"/>
        </w:rPr>
        <w:t xml:space="preserve">12.5 </w:t>
      </w:r>
      <w:r>
        <w:t>全生命周期碳排放</w:t>
      </w:r>
      <w:r>
        <w:tab/>
      </w:r>
      <w:r>
        <w:fldChar w:fldCharType="begin"/>
      </w:r>
      <w:r>
        <w:instrText xml:space="preserve"> PAGEREF _Toc5810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_Toc22355 </w:instrText>
      </w:r>
      <w:r>
        <w:fldChar w:fldCharType="separate"/>
      </w:r>
      <w:r>
        <w:rPr>
          <w:rFonts w:hint="eastAsia" w:eastAsia="宋体"/>
          <w:szCs w:val="24"/>
          <w:lang w:val="en-GB"/>
        </w:rPr>
        <w:t xml:space="preserve">12.5.1 </w:t>
      </w:r>
      <w:r>
        <w:t>碳排放强度</w:t>
      </w:r>
      <w:r>
        <w:tab/>
      </w:r>
      <w:r>
        <w:fldChar w:fldCharType="begin"/>
      </w:r>
      <w:r>
        <w:instrText xml:space="preserve"> PAGEREF _Toc22355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_Toc11537 </w:instrText>
      </w:r>
      <w:r>
        <w:fldChar w:fldCharType="separate"/>
      </w:r>
      <w:r>
        <w:rPr>
          <w:rFonts w:hint="eastAsia" w:eastAsia="宋体"/>
          <w:szCs w:val="24"/>
          <w:lang w:val="en-GB"/>
        </w:rPr>
        <w:t xml:space="preserve">12.5.2 </w:t>
      </w:r>
      <w:r>
        <w:t>总碳排放量</w:t>
      </w:r>
      <w:r>
        <w:tab/>
      </w:r>
      <w:r>
        <w:fldChar w:fldCharType="begin"/>
      </w:r>
      <w:r>
        <w:instrText xml:space="preserve"> PAGEREF _Toc11537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_Toc13856 </w:instrText>
      </w:r>
      <w:r>
        <w:fldChar w:fldCharType="separate"/>
      </w:r>
      <w:r>
        <w:rPr>
          <w:rFonts w:hint="eastAsia"/>
        </w:rPr>
        <w:t xml:space="preserve">13 </w:t>
      </w:r>
      <w:r>
        <w:t>附录</w:t>
      </w:r>
      <w:r>
        <w:tab/>
      </w:r>
      <w:r>
        <w:fldChar w:fldCharType="begin"/>
      </w:r>
      <w:r>
        <w:instrText xml:space="preserve"> PAGEREF _Toc13856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_Toc18571 </w:instrText>
      </w:r>
      <w:r>
        <w:fldChar w:fldCharType="separate"/>
      </w:r>
      <w:r>
        <w:rPr>
          <w:rFonts w:hint="eastAsia"/>
          <w:lang w:val="en-GB"/>
        </w:rPr>
        <w:t xml:space="preserve">13.1 </w:t>
      </w:r>
      <w:r>
        <w:t>工作日/节假日人员逐时在室率(%)</w:t>
      </w:r>
      <w:r>
        <w:tab/>
      </w:r>
      <w:r>
        <w:fldChar w:fldCharType="begin"/>
      </w:r>
      <w:r>
        <w:instrText xml:space="preserve"> PAGEREF _Toc18571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_Toc25398 </w:instrText>
      </w:r>
      <w:r>
        <w:fldChar w:fldCharType="separate"/>
      </w:r>
      <w:r>
        <w:rPr>
          <w:rFonts w:hint="eastAsia"/>
          <w:lang w:val="en-GB"/>
        </w:rPr>
        <w:t xml:space="preserve">13.2 </w:t>
      </w:r>
      <w:r>
        <w:t>工作日/节假日照明开关时间表(%)</w:t>
      </w:r>
      <w:r>
        <w:tab/>
      </w:r>
      <w:r>
        <w:fldChar w:fldCharType="begin"/>
      </w:r>
      <w:r>
        <w:instrText xml:space="preserve"> PAGEREF _Toc25398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_Toc19811 </w:instrText>
      </w:r>
      <w:r>
        <w:fldChar w:fldCharType="separate"/>
      </w:r>
      <w:r>
        <w:rPr>
          <w:rFonts w:hint="eastAsia"/>
          <w:lang w:val="en-GB"/>
        </w:rPr>
        <w:t xml:space="preserve">13.3 </w:t>
      </w:r>
      <w:r>
        <w:t>工作日/节假日设备逐时使用率(%)</w:t>
      </w:r>
      <w:r>
        <w:tab/>
      </w:r>
      <w:r>
        <w:fldChar w:fldCharType="begin"/>
      </w:r>
      <w:r>
        <w:instrText xml:space="preserve"> PAGEREF _Toc19811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_Toc4226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_Toc4226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_Toc29092 </w:instrText>
      </w:r>
      <w:r>
        <w:fldChar w:fldCharType="separate"/>
      </w:r>
      <w:r>
        <w:rPr>
          <w:rFonts w:hint="eastAsia"/>
          <w:lang w:val="en-GB"/>
        </w:rPr>
        <w:t xml:space="preserve">13.5 </w:t>
      </w:r>
      <w:r>
        <w:t>工作日/节假日新风运行时间表(%)</w:t>
      </w:r>
      <w:r>
        <w:tab/>
      </w:r>
      <w:r>
        <w:fldChar w:fldCharType="begin"/>
      </w:r>
      <w:r>
        <w:instrText xml:space="preserve"> PAGEREF _Toc29092 \h </w:instrText>
      </w:r>
      <w:r>
        <w:fldChar w:fldCharType="separate"/>
      </w:r>
      <w:r>
        <w:t>12</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1" w:name="_Toc197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2" w:name="工程名称"/>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3" w:name="工程地点"/>
            <w:r>
              <w:t>云南-普洱-孟连</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24.32</w:t>
            </w:r>
            <w:bookmarkEnd w:id="14"/>
            <w:r>
              <w:rPr>
                <w:rFonts w:hint="eastAsia" w:ascii="宋体" w:hAnsi="宋体"/>
                <w:lang w:val="en-US"/>
              </w:rPr>
              <w:t>°</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113.80</w:t>
            </w:r>
            <w:bookmarkEnd w:id="15"/>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6" w:name="建筑寿命"/>
            <w:r>
              <w:t>50</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1066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3" w:name="建筑体积"/>
            <w:r>
              <w:t>3711.08</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外表面积"/>
            <w:r>
              <w:t>1473.93</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5" w:name="北向角度"/>
            <w:r>
              <w:t>90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6" w:name="结构类型"/>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7" w:name="外墙ρ"/>
            <w:r>
              <w:rPr>
                <w:rFonts w:hint="eastAsia"/>
              </w:rPr>
              <w:t>0.75</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8" w:name="屋顶ρ"/>
            <w:r>
              <w:rPr>
                <w:rFonts w:hint="eastAsia"/>
              </w:rPr>
              <w:t>0.75</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9" w:name="控温期"/>
            <w:r>
              <w:t>供冷期:4.1-10.31</w:t>
            </w:r>
            <w:bookmarkEnd w:id="29"/>
          </w:p>
        </w:tc>
      </w:tr>
    </w:tbl>
    <w:p>
      <w:pPr>
        <w:pStyle w:val="3"/>
        <w:ind w:firstLine="0" w:firstLineChars="0"/>
        <w:rPr>
          <w:lang w:val="en-US"/>
        </w:rPr>
      </w:pPr>
    </w:p>
    <w:p>
      <w:pPr>
        <w:pStyle w:val="2"/>
      </w:pPr>
      <w:bookmarkStart w:id="30" w:name="_Toc971"/>
      <w:bookmarkStart w:id="31" w:name="TitleFormat"/>
      <w:r>
        <w:rPr>
          <w:rFonts w:hint="eastAsia"/>
        </w:rPr>
        <w:t>标准依据</w:t>
      </w:r>
      <w:bookmarkEnd w:id="30"/>
      <w:bookmarkEnd w:id="31"/>
    </w:p>
    <w:p>
      <w:pPr>
        <w:pStyle w:val="3"/>
        <w:ind w:firstLine="0" w:firstLineChars="0"/>
        <w:rPr>
          <w:lang w:val="en-US"/>
        </w:rPr>
      </w:pPr>
      <w:bookmarkStart w:id="32" w:name="计算依据"/>
      <w:bookmarkEnd w:id="32"/>
      <w:r>
        <w:rPr>
          <w:lang w:val="en-US"/>
        </w:rPr>
        <w:t>1. 《绿色建筑评价标准》(GB/T50378-2019)</w:t>
      </w:r>
    </w:p>
    <w:p>
      <w:pPr>
        <w:pStyle w:val="3"/>
        <w:ind w:firstLine="0" w:firstLineChars="0"/>
        <w:rPr>
          <w:lang w:val="en-US"/>
        </w:rPr>
      </w:pPr>
      <w:r>
        <w:rPr>
          <w:lang w:val="en-US"/>
        </w:rPr>
        <w:t>2. 《民用建筑绿色性能计算标准》(JGJ/T 449-2018)</w:t>
      </w:r>
    </w:p>
    <w:p>
      <w:pPr>
        <w:pStyle w:val="3"/>
        <w:ind w:firstLine="0" w:firstLineChars="0"/>
        <w:rPr>
          <w:lang w:val="en-US"/>
        </w:rPr>
      </w:pPr>
      <w:r>
        <w:rPr>
          <w:lang w:val="en-US"/>
        </w:rPr>
        <w:t>3. 《建筑能效标识技术标准》(JGJ/T 288-2012)</w:t>
      </w:r>
    </w:p>
    <w:p>
      <w:pPr>
        <w:pStyle w:val="2"/>
      </w:pPr>
      <w:bookmarkStart w:id="33" w:name="_Toc20571"/>
      <w:bookmarkStart w:id="34" w:name="_Toc58336110"/>
      <w:bookmarkStart w:id="35" w:name="_Toc59787735"/>
      <w:bookmarkStart w:id="36" w:name="_Toc59802421"/>
      <w:bookmarkStart w:id="37" w:name="_Toc59800596"/>
      <w:r>
        <w:rPr>
          <w:rFonts w:hint="eastAsia"/>
        </w:rPr>
        <w:t>软件介绍</w:t>
      </w:r>
      <w:bookmarkEnd w:id="33"/>
      <w:bookmarkEnd w:id="34"/>
      <w:bookmarkEnd w:id="35"/>
      <w:bookmarkEnd w:id="36"/>
      <w:bookmarkEnd w:id="37"/>
    </w:p>
    <w:p>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39" w:name="_Toc7331"/>
      <w:r>
        <w:rPr>
          <w:rFonts w:hint="eastAsia"/>
        </w:rPr>
        <w:t>气象数据</w:t>
      </w:r>
      <w:bookmarkEnd w:id="39"/>
    </w:p>
    <w:p>
      <w:pPr>
        <w:pStyle w:val="4"/>
      </w:pPr>
      <w:bookmarkStart w:id="40" w:name="_Toc1169"/>
      <w:r>
        <w:rPr>
          <w:rFonts w:hint="eastAsia"/>
        </w:rPr>
        <w:t>逐日干球温度表</w:t>
      </w:r>
      <w:bookmarkEnd w:id="40"/>
    </w:p>
    <w:p>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pPr>
        <w:pStyle w:val="4"/>
      </w:pPr>
      <w:bookmarkStart w:id="42" w:name="_Toc32358"/>
      <w:r>
        <w:rPr>
          <w:rFonts w:hint="eastAsia"/>
        </w:rPr>
        <w:t>逐月辐照量表</w:t>
      </w:r>
      <w:bookmarkEnd w:id="42"/>
    </w:p>
    <w:p>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pPr>
        <w:pStyle w:val="4"/>
      </w:pPr>
      <w:bookmarkStart w:id="44" w:name="_Toc2975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05月13日16时</w:t>
            </w:r>
          </w:p>
        </w:tc>
        <w:tc>
          <w:tcPr>
            <w:vAlign w:val="center"/>
          </w:tcPr>
          <w:p>
            <w:r>
              <w:t>32.2</w:t>
            </w:r>
          </w:p>
        </w:tc>
        <w:tc>
          <w:tcPr>
            <w:vAlign w:val="center"/>
          </w:tcPr>
          <w:p>
            <w:r>
              <w:t>16.7</w:t>
            </w:r>
          </w:p>
        </w:tc>
        <w:tc>
          <w:tcPr>
            <w:vAlign w:val="center"/>
          </w:tcPr>
          <w:p>
            <w:r>
              <w:t>7.3</w:t>
            </w:r>
          </w:p>
        </w:tc>
        <w:tc>
          <w:tcPr>
            <w:vAlign w:val="center"/>
          </w:tcPr>
          <w:p>
            <w:r>
              <w:t>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01月03日05时</w:t>
            </w:r>
          </w:p>
        </w:tc>
        <w:tc>
          <w:tcPr>
            <w:vAlign w:val="center"/>
          </w:tcPr>
          <w:p>
            <w:r>
              <w:t>3.3</w:t>
            </w:r>
          </w:p>
        </w:tc>
        <w:tc>
          <w:tcPr>
            <w:vAlign w:val="center"/>
          </w:tcPr>
          <w:p>
            <w:r>
              <w:t>3.3</w:t>
            </w:r>
          </w:p>
        </w:tc>
        <w:tc>
          <w:tcPr>
            <w:vAlign w:val="center"/>
          </w:tcPr>
          <w:p>
            <w:r>
              <w:t>5.5</w:t>
            </w:r>
          </w:p>
        </w:tc>
        <w:tc>
          <w:tcPr>
            <w:vAlign w:val="center"/>
          </w:tcPr>
          <w:p>
            <w:r>
              <w:t>17.1</w:t>
            </w:r>
          </w:p>
        </w:tc>
      </w:tr>
    </w:tbl>
    <w:p>
      <w:pPr>
        <w:pStyle w:val="2"/>
        <w:widowControl w:val="0"/>
        <w:jc w:val="both"/>
      </w:pPr>
      <w:bookmarkStart w:id="45" w:name="气象峰值工况"/>
      <w:bookmarkEnd w:id="45"/>
      <w:bookmarkStart w:id="46" w:name="_Toc16456"/>
      <w:r>
        <w:t>围护结构</w:t>
      </w:r>
      <w:bookmarkEnd w:id="46"/>
    </w:p>
    <w:p>
      <w:pPr>
        <w:pStyle w:val="4"/>
        <w:widowControl w:val="0"/>
        <w:jc w:val="both"/>
      </w:pPr>
      <w:bookmarkStart w:id="47" w:name="_Toc3387"/>
      <w:r>
        <w:t>工程材料</w:t>
      </w:r>
      <w:bookmarkEnd w:id="47"/>
    </w:p>
    <w:p>
      <w:pPr>
        <w:pStyle w:val="5"/>
        <w:widowControl w:val="0"/>
        <w:jc w:val="both"/>
      </w:pPr>
      <w:bookmarkStart w:id="48" w:name="_Toc9691"/>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0.0000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耐碱玻纤网布抗裂砂浆</w:t>
            </w:r>
          </w:p>
        </w:tc>
        <w:tc>
          <w:tcPr>
            <w:vAlign w:val="center"/>
          </w:tcPr>
          <w:p>
            <w:pPr>
              <w:jc w:val="right"/>
            </w:pPr>
            <w:r>
              <w:t>0.930</w:t>
            </w:r>
          </w:p>
        </w:tc>
        <w:tc>
          <w:tcPr>
            <w:vAlign w:val="center"/>
          </w:tcPr>
          <w:p>
            <w:pPr>
              <w:jc w:val="right"/>
            </w:pPr>
            <w:r>
              <w:t>11.306</w:t>
            </w:r>
          </w:p>
        </w:tc>
        <w:tc>
          <w:tcPr>
            <w:vAlign w:val="center"/>
          </w:tcPr>
          <w:p>
            <w:pPr>
              <w:jc w:val="right"/>
            </w:pPr>
            <w:r>
              <w:t>1800.0</w:t>
            </w:r>
          </w:p>
        </w:tc>
        <w:tc>
          <w:tcPr>
            <w:vAlign w:val="center"/>
          </w:tcPr>
          <w:p>
            <w:pPr>
              <w:jc w:val="right"/>
            </w:pPr>
            <w:r>
              <w:t>1050.0</w:t>
            </w:r>
          </w:p>
        </w:tc>
        <w:tc>
          <w:tcPr>
            <w:vAlign w:val="center"/>
          </w:tcPr>
          <w:p>
            <w:pPr>
              <w:jc w:val="right"/>
            </w:pPr>
            <w:r>
              <w:t>0.0000</w:t>
            </w:r>
          </w:p>
        </w:tc>
        <w:tc>
          <w:tcPr>
            <w:vAlign w:val="center"/>
          </w:tcPr>
          <w:p>
            <w:r>
              <w:rPr>
                <w:sz w:val="18"/>
                <w:szCs w:val="18"/>
              </w:rPr>
              <w:t>DB34-T753-2007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0.0158</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0.033</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0.0000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蒸压加气混凝土砌块（525-625）</w:t>
            </w:r>
          </w:p>
        </w:tc>
        <w:tc>
          <w:tcPr>
            <w:vAlign w:val="center"/>
          </w:tcPr>
          <w:p>
            <w:pPr>
              <w:jc w:val="right"/>
            </w:pPr>
            <w:r>
              <w:t>0.160</w:t>
            </w:r>
          </w:p>
        </w:tc>
        <w:tc>
          <w:tcPr>
            <w:vAlign w:val="center"/>
          </w:tcPr>
          <w:p>
            <w:pPr>
              <w:jc w:val="right"/>
            </w:pPr>
            <w:r>
              <w:t>2.750</w:t>
            </w:r>
          </w:p>
        </w:tc>
        <w:tc>
          <w:tcPr>
            <w:vAlign w:val="center"/>
          </w:tcPr>
          <w:p>
            <w:pPr>
              <w:jc w:val="right"/>
            </w:pPr>
            <w:r>
              <w:t>600.0</w:t>
            </w:r>
          </w:p>
        </w:tc>
        <w:tc>
          <w:tcPr>
            <w:vAlign w:val="center"/>
          </w:tcPr>
          <w:p>
            <w:pPr>
              <w:jc w:val="right"/>
            </w:pPr>
            <w:r>
              <w:t>1050.0</w:t>
            </w:r>
          </w:p>
        </w:tc>
        <w:tc>
          <w:tcPr>
            <w:vAlign w:val="center"/>
          </w:tcPr>
          <w:p>
            <w:pPr>
              <w:jc w:val="right"/>
            </w:pPr>
            <w:r>
              <w:t>0.0000</w:t>
            </w:r>
          </w:p>
        </w:tc>
        <w:tc>
          <w:tcPr>
            <w:vAlign w:val="center"/>
          </w:tcPr>
          <w:p>
            <w:r>
              <w:rPr>
                <w:sz w:val="18"/>
                <w:szCs w:val="18"/>
              </w:rPr>
              <w:t>云南省民用建筑节能设计标准 DBJ 53/T-39-2020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pPr>
              <w:jc w:val="right"/>
            </w:pPr>
            <w:r>
              <w:t>0.300</w:t>
            </w:r>
          </w:p>
        </w:tc>
        <w:tc>
          <w:tcPr>
            <w:vAlign w:val="center"/>
          </w:tcPr>
          <w:p>
            <w:pPr>
              <w:jc w:val="right"/>
            </w:pPr>
            <w:r>
              <w:t>5.000</w:t>
            </w:r>
          </w:p>
        </w:tc>
        <w:tc>
          <w:tcPr>
            <w:vAlign w:val="center"/>
          </w:tcPr>
          <w:p>
            <w:pPr>
              <w:jc w:val="right"/>
            </w:pPr>
            <w:r>
              <w:t>1050.0</w:t>
            </w:r>
          </w:p>
        </w:tc>
        <w:tc>
          <w:tcPr>
            <w:vAlign w:val="center"/>
          </w:tcPr>
          <w:p>
            <w:pPr>
              <w:jc w:val="right"/>
            </w:pPr>
            <w:r>
              <w:t>1091.3</w:t>
            </w:r>
          </w:p>
        </w:tc>
        <w:tc>
          <w:tcPr>
            <w:vAlign w:val="center"/>
          </w:tcPr>
          <w:p>
            <w:pPr>
              <w:jc w:val="right"/>
            </w:pPr>
            <w:r>
              <w:t>0.0040</w:t>
            </w:r>
          </w:p>
        </w:tc>
        <w:tc>
          <w:tcPr>
            <w:vAlign w:val="center"/>
          </w:tcPr>
          <w:p>
            <w:r>
              <w:rPr>
                <w:sz w:val="18"/>
                <w:szCs w:val="18"/>
              </w:rPr>
              <w:t>安徽省居住建筑节能设计标准 DB34/1466-2019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5832.3</w:t>
            </w:r>
          </w:p>
        </w:tc>
        <w:tc>
          <w:tcPr>
            <w:vAlign w:val="center"/>
          </w:tcPr>
          <w:p>
            <w:pPr>
              <w:jc w:val="right"/>
            </w:pPr>
            <w:r>
              <w:t>0.0014</w:t>
            </w:r>
          </w:p>
        </w:tc>
        <w:tc>
          <w:tcPr>
            <w:vAlign w:val="center"/>
          </w:tcPr>
          <w:p>
            <w:r>
              <w:rPr>
                <w:sz w:val="18"/>
                <w:szCs w:val="18"/>
              </w:rPr>
              <w:t xml:space="preserve">DB34-T753-2007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0.0158</w:t>
            </w:r>
          </w:p>
        </w:tc>
        <w:tc>
          <w:tcPr>
            <w:vAlign w:val="center"/>
          </w:tcPr>
          <w:p>
            <w:r>
              <w:rPr>
                <w:sz w:val="18"/>
                <w:szCs w:val="18"/>
              </w:rPr>
              <w:t xml:space="preserve">DB34-T753-2007 </w:t>
            </w:r>
          </w:p>
        </w:tc>
      </w:tr>
    </w:tbl>
    <w:p>
      <w:pPr>
        <w:pStyle w:val="5"/>
        <w:widowControl w:val="0"/>
        <w:jc w:val="both"/>
      </w:pPr>
      <w:bookmarkStart w:id="49" w:name="_Toc25794"/>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界面砂浆</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胶粘剂</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 xml:space="preserve">合成高分子防水涂料 </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rPr>
                <w:sz w:val="18"/>
                <w:szCs w:val="18"/>
              </w:rPr>
            </w:pPr>
          </w:p>
        </w:tc>
      </w:tr>
    </w:tbl>
    <w:p>
      <w:pPr>
        <w:pStyle w:val="4"/>
        <w:widowControl w:val="0"/>
        <w:jc w:val="both"/>
      </w:pPr>
      <w:bookmarkStart w:id="50" w:name="_Toc14375"/>
      <w:r>
        <w:t>围护结构作法简要说明</w:t>
      </w:r>
      <w:bookmarkEnd w:id="50"/>
    </w:p>
    <w:p>
      <w:pPr>
        <w:widowControl w:val="0"/>
        <w:jc w:val="both"/>
      </w:pPr>
      <w:r>
        <w:rPr>
          <w:b/>
          <w:color w:val="000000"/>
          <w:sz w:val="24"/>
          <w:szCs w:val="24"/>
        </w:rPr>
        <w:t>1. 屋顶：</w:t>
      </w:r>
      <w:r>
        <w:rPr>
          <w:color w:val="0000FF"/>
        </w:rPr>
        <w:t>上人屋面 (K=0.790,D=2.819)：</w:t>
      </w:r>
      <w:r>
        <w:rPr>
          <w:color w:val="000000"/>
        </w:rPr>
        <w:t>（由上到下）</w:t>
      </w:r>
    </w:p>
    <w:p>
      <w:pPr>
        <w:widowControl w:val="0"/>
        <w:jc w:val="both"/>
      </w:pPr>
      <w:r>
        <w:t xml:space="preserve">    </w:t>
      </w:r>
      <w:r>
        <w:rPr>
          <w:color w:val="000000"/>
        </w:rPr>
        <w:t>C20细石混凝土 40mm＋SBS改性沥青防水卷材 3mm＋合成高分子防水涂料  1.5mm＋水泥砂浆 20mm＋</w:t>
      </w:r>
      <w:r>
        <w:rPr>
          <w:color w:val="800000"/>
        </w:rPr>
        <w:t>挤塑聚苯板 30mm</w:t>
      </w:r>
      <w:r>
        <w:rPr>
          <w:color w:val="000000"/>
        </w:rPr>
        <w:t>＋水泥砂浆 20mm＋轻骨料混凝土(找坡层) 30mm＋钢筋混凝土 100mm</w:t>
      </w:r>
    </w:p>
    <w:p>
      <w:pPr>
        <w:widowControl w:val="0"/>
        <w:jc w:val="both"/>
        <w:rPr>
          <w:color w:val="000000"/>
        </w:rPr>
      </w:pPr>
      <w:r>
        <w:rPr>
          <w:b/>
          <w:color w:val="000000"/>
          <w:sz w:val="24"/>
          <w:szCs w:val="24"/>
        </w:rPr>
        <w:t>2. 外墙（填充墙）：</w:t>
      </w:r>
      <w:r>
        <w:rPr>
          <w:color w:val="0000FF"/>
        </w:rPr>
        <w:t>外墙（填充墙）构造一 (K=0.287,D=4.587)：</w:t>
      </w:r>
      <w:r>
        <w:rPr>
          <w:color w:val="000000"/>
        </w:rPr>
        <w:t>（由外到内）</w:t>
      </w:r>
    </w:p>
    <w:p>
      <w:pPr>
        <w:widowControl w:val="0"/>
        <w:jc w:val="both"/>
        <w:rPr>
          <w:color w:val="000000"/>
        </w:rPr>
      </w:pPr>
      <w:r>
        <w:rPr>
          <w:color w:val="000000"/>
        </w:rPr>
        <w:t xml:space="preserve">    耐碱玻纤网布抗裂砂浆 5mm＋</w:t>
      </w:r>
      <w:r>
        <w:rPr>
          <w:color w:val="800000"/>
        </w:rPr>
        <w:t>挤塑聚苯板 80mm</w:t>
      </w:r>
      <w:r>
        <w:rPr>
          <w:color w:val="000000"/>
        </w:rPr>
        <w:t>＋界面砂浆 0mm＋蒸压加气混凝土砌块（525-625） 200mm＋石灰水泥砂浆 20mm</w:t>
      </w:r>
    </w:p>
    <w:p>
      <w:pPr>
        <w:widowControl w:val="0"/>
        <w:jc w:val="both"/>
        <w:rPr>
          <w:color w:val="000000"/>
        </w:rPr>
      </w:pPr>
      <w:r>
        <w:rPr>
          <w:b/>
          <w:color w:val="000000"/>
          <w:sz w:val="24"/>
          <w:szCs w:val="24"/>
        </w:rPr>
        <w:t>3. 热桥柱：</w:t>
      </w:r>
      <w:r>
        <w:rPr>
          <w:color w:val="0000FF"/>
        </w:rPr>
        <w:t>热桥柱 (K=1.112,D=2.495)：</w:t>
      </w:r>
      <w:r>
        <w:rPr>
          <w:color w:val="000000"/>
        </w:rPr>
        <w:t>（由外到内）</w:t>
      </w:r>
    </w:p>
    <w:p>
      <w:pPr>
        <w:widowControl w:val="0"/>
        <w:jc w:val="both"/>
        <w:rPr>
          <w:color w:val="000000"/>
        </w:rPr>
      </w:pPr>
      <w:r>
        <w:rPr>
          <w:color w:val="000000"/>
        </w:rPr>
        <w:t xml:space="preserve">    耐碱玻纤网布抗裂砂浆 5mm＋</w:t>
      </w:r>
      <w:r>
        <w:rPr>
          <w:color w:val="800000"/>
        </w:rPr>
        <w:t>挤塑聚苯板 20mm</w:t>
      </w:r>
      <w:r>
        <w:rPr>
          <w:color w:val="000000"/>
        </w:rPr>
        <w:t>＋界面砂浆 0mm＋</w:t>
      </w:r>
      <w:r>
        <w:rPr>
          <w:color w:val="800080"/>
        </w:rPr>
        <w:t>钢筋混凝土 200mm</w:t>
      </w:r>
      <w:r>
        <w:rPr>
          <w:color w:val="000000"/>
        </w:rPr>
        <w:t>＋石灰水泥砂浆 20mm</w:t>
      </w:r>
    </w:p>
    <w:p>
      <w:pPr>
        <w:widowControl w:val="0"/>
        <w:jc w:val="both"/>
        <w:rPr>
          <w:color w:val="000000"/>
        </w:rPr>
      </w:pPr>
      <w:r>
        <w:rPr>
          <w:b/>
          <w:color w:val="000000"/>
          <w:sz w:val="24"/>
          <w:szCs w:val="24"/>
        </w:rPr>
        <w:t>4. 外窗构造：</w:t>
      </w:r>
      <w:r>
        <w:rPr>
          <w:color w:val="0000FF"/>
        </w:rPr>
        <w:t>6高透光三银Low-E+12空气+6透明-铝合金窗框[Kf=6.21W/(㎡·K),框面积30%] (K=3.000)：</w:t>
      </w:r>
    </w:p>
    <w:p>
      <w:pPr>
        <w:widowControl w:val="0"/>
        <w:jc w:val="both"/>
        <w:rPr>
          <w:color w:val="000000"/>
        </w:rPr>
      </w:pPr>
      <w:r>
        <w:rPr>
          <w:color w:val="000000"/>
        </w:rPr>
        <w:t xml:space="preserve">    传热系数3.000W/㎡.K，窗太阳得热系数0.278</w:t>
      </w:r>
    </w:p>
    <w:p>
      <w:pPr>
        <w:pStyle w:val="2"/>
        <w:widowControl w:val="0"/>
        <w:jc w:val="both"/>
        <w:rPr>
          <w:color w:val="000000"/>
        </w:rPr>
      </w:pPr>
      <w:bookmarkStart w:id="51" w:name="_Toc20062"/>
      <w:r>
        <w:rPr>
          <w:color w:val="000000"/>
        </w:rPr>
        <w:t>房间类型</w:t>
      </w:r>
      <w:bookmarkEnd w:id="51"/>
    </w:p>
    <w:p>
      <w:pPr>
        <w:pStyle w:val="4"/>
        <w:widowControl w:val="0"/>
        <w:jc w:val="both"/>
        <w:rPr>
          <w:color w:val="000000"/>
        </w:rPr>
      </w:pPr>
      <w:bookmarkStart w:id="52" w:name="_Toc22644"/>
      <w:r>
        <w:rPr>
          <w:color w:val="000000"/>
        </w:rPr>
        <w:t>房间参数表</w:t>
      </w:r>
      <w:bookmarkEnd w:id="5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25</w:t>
            </w:r>
          </w:p>
        </w:tc>
        <w:tc>
          <w:tcPr>
            <w:vAlign w:val="center"/>
          </w:tcPr>
          <w:p>
            <w:pPr>
              <w:jc w:val="center"/>
            </w:pPr>
            <w:r>
              <w:t>20</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r>
    </w:tbl>
    <w:p>
      <w:pPr>
        <w:pStyle w:val="4"/>
        <w:widowControl w:val="0"/>
        <w:jc w:val="both"/>
        <w:rPr>
          <w:color w:val="000000"/>
        </w:rPr>
      </w:pPr>
      <w:bookmarkStart w:id="53" w:name="_Toc6704"/>
      <w:r>
        <w:rPr>
          <w:color w:val="000000"/>
        </w:rPr>
        <w:t>作息时间表</w:t>
      </w:r>
      <w:bookmarkEnd w:id="53"/>
    </w:p>
    <w:p>
      <w:pPr>
        <w:widowControl w:val="0"/>
        <w:jc w:val="both"/>
        <w:rPr>
          <w:color w:val="000000"/>
        </w:rPr>
      </w:pPr>
      <w:r>
        <w:rPr>
          <w:color w:val="000000"/>
        </w:rPr>
        <w:t>详见附录</w:t>
      </w:r>
    </w:p>
    <w:p>
      <w:pPr>
        <w:pStyle w:val="2"/>
        <w:widowControl w:val="0"/>
        <w:jc w:val="both"/>
        <w:rPr>
          <w:color w:val="000000"/>
        </w:rPr>
      </w:pPr>
      <w:bookmarkStart w:id="54" w:name="_Toc8820"/>
      <w:r>
        <w:rPr>
          <w:color w:val="000000"/>
        </w:rPr>
        <w:t>系统类型</w:t>
      </w:r>
      <w:bookmarkEnd w:id="54"/>
    </w:p>
    <w:p>
      <w:pPr>
        <w:pStyle w:val="4"/>
        <w:widowControl w:val="0"/>
        <w:jc w:val="both"/>
        <w:rPr>
          <w:color w:val="000000"/>
        </w:rPr>
      </w:pPr>
      <w:bookmarkStart w:id="55" w:name="_Toc6379"/>
      <w:r>
        <w:rPr>
          <w:color w:val="000000"/>
        </w:rPr>
        <w:t>系统分区</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多联机空调(热泵)</w:t>
            </w:r>
          </w:p>
        </w:tc>
        <w:tc>
          <w:tcPr>
            <w:vAlign w:val="center"/>
          </w:tcPr>
          <w:p>
            <w:r>
              <w:t>809.45</w:t>
            </w:r>
          </w:p>
        </w:tc>
        <w:tc>
          <w:tcPr>
            <w:vAlign w:val="center"/>
          </w:tcPr>
          <w:p>
            <w:r>
              <w:t>所有房间</w:t>
            </w:r>
          </w:p>
        </w:tc>
      </w:tr>
    </w:tbl>
    <w:p>
      <w:pPr>
        <w:pStyle w:val="4"/>
        <w:widowControl w:val="0"/>
        <w:jc w:val="both"/>
        <w:rPr>
          <w:color w:val="000000"/>
        </w:rPr>
      </w:pPr>
      <w:bookmarkStart w:id="56" w:name="_Toc24754"/>
      <w:r>
        <w:rPr>
          <w:color w:val="000000"/>
        </w:rPr>
        <w:t>热回收参数</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7" w:name="_Toc15626"/>
      <w:r>
        <w:rPr>
          <w:color w:val="000000"/>
        </w:rPr>
        <w:t>制冷系统</w:t>
      </w:r>
      <w:bookmarkEnd w:id="57"/>
    </w:p>
    <w:p>
      <w:pPr>
        <w:pStyle w:val="2"/>
        <w:widowControl w:val="0"/>
        <w:jc w:val="both"/>
        <w:rPr>
          <w:color w:val="000000"/>
        </w:rPr>
      </w:pPr>
      <w:bookmarkStart w:id="58" w:name="_Toc11625"/>
      <w:r>
        <w:rPr>
          <w:color w:val="000000"/>
        </w:rPr>
        <w:t>空调风机</w:t>
      </w:r>
      <w:bookmarkEnd w:id="5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0</w:t>
            </w:r>
          </w:p>
        </w:tc>
        <w:tc>
          <w:tcPr>
            <w:vMerge w:val="restart"/>
            <w:vAlign w:val="center"/>
          </w:tcPr>
          <w:p>
            <w:r>
              <w:t>0.5703</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0.000</w:t>
            </w:r>
          </w:p>
        </w:tc>
      </w:tr>
    </w:tbl>
    <w:p>
      <w:pPr>
        <w:pStyle w:val="2"/>
        <w:widowControl w:val="0"/>
        <w:jc w:val="both"/>
        <w:rPr>
          <w:color w:val="000000"/>
        </w:rPr>
      </w:pPr>
      <w:bookmarkStart w:id="59" w:name="_Toc10950"/>
      <w:r>
        <w:rPr>
          <w:color w:val="000000"/>
        </w:rPr>
        <w:t>照明</w:t>
      </w:r>
      <w:bookmarkEnd w:id="5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0.000</w:t>
            </w:r>
          </w:p>
        </w:tc>
      </w:tr>
    </w:tbl>
    <w:p>
      <w:pPr>
        <w:pStyle w:val="2"/>
        <w:widowControl w:val="0"/>
        <w:jc w:val="both"/>
        <w:rPr>
          <w:color w:val="000000"/>
        </w:rPr>
      </w:pPr>
      <w:bookmarkStart w:id="60" w:name="_Toc27446"/>
      <w:r>
        <w:rPr>
          <w:color w:val="000000"/>
        </w:rPr>
        <w:t>光伏发电</w:t>
      </w:r>
      <w:bookmarkEnd w:id="60"/>
    </w:p>
    <w:p>
      <w:pPr>
        <w:widowControl w:val="0"/>
        <w:jc w:val="both"/>
        <w:rPr>
          <w:color w:val="000000"/>
        </w:rPr>
      </w:pPr>
      <w:r>
        <w:rPr>
          <w:color w:val="000000"/>
        </w:rPr>
        <w:t>日照辐照量(kJ/㎡.天)：15333，年运行天数：365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40</w:t>
            </w:r>
          </w:p>
        </w:tc>
        <w:tc>
          <w:tcPr>
            <w:vAlign w:val="center"/>
          </w:tcPr>
          <w:p>
            <w:r>
              <w:t>20</w:t>
            </w:r>
          </w:p>
        </w:tc>
        <w:tc>
          <w:tcPr>
            <w:vAlign w:val="center"/>
          </w:tcPr>
          <w:p>
            <w:r>
              <w:t>75</w:t>
            </w:r>
          </w:p>
        </w:tc>
        <w:tc>
          <w:tcPr>
            <w:vAlign w:val="center"/>
          </w:tcPr>
          <w:p>
            <w:r>
              <w:t>0.85</w:t>
            </w:r>
          </w:p>
        </w:tc>
        <w:tc>
          <w:tcPr>
            <w:vAlign w:val="center"/>
          </w:tcPr>
          <w:p>
            <w:r>
              <w:t>7928</w:t>
            </w:r>
          </w:p>
        </w:tc>
        <w:tc>
          <w:tcPr>
            <w:vAlign w:val="center"/>
          </w:tcPr>
          <w:p>
            <w:r>
              <w:t>0.5703</w:t>
            </w:r>
          </w:p>
        </w:tc>
        <w:tc>
          <w:tcPr>
            <w:vAlign w:val="center"/>
          </w:tcPr>
          <w:p>
            <w:r>
              <w:t>4.522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4.522</w:t>
            </w:r>
          </w:p>
        </w:tc>
      </w:tr>
    </w:tbl>
    <w:p>
      <w:pPr>
        <w:pStyle w:val="2"/>
        <w:widowControl w:val="0"/>
        <w:jc w:val="both"/>
        <w:rPr>
          <w:color w:val="000000"/>
        </w:rPr>
      </w:pPr>
      <w:bookmarkStart w:id="61" w:name="_Toc21631"/>
      <w:r>
        <w:rPr>
          <w:color w:val="000000"/>
        </w:rPr>
        <w:t>计算结果</w:t>
      </w:r>
      <w:bookmarkEnd w:id="61"/>
    </w:p>
    <w:p>
      <w:pPr>
        <w:pStyle w:val="4"/>
        <w:widowControl w:val="0"/>
        <w:jc w:val="both"/>
        <w:rPr>
          <w:color w:val="000000"/>
        </w:rPr>
      </w:pPr>
      <w:bookmarkStart w:id="62" w:name="_Toc23621"/>
      <w:r>
        <w:rPr>
          <w:color w:val="000000"/>
        </w:rPr>
        <w:t>建材生产运输碳排放</w:t>
      </w:r>
      <w:bookmarkEnd w:id="62"/>
    </w:p>
    <w:p>
      <w:pPr>
        <w:pStyle w:val="5"/>
        <w:widowControl w:val="0"/>
        <w:jc w:val="both"/>
        <w:rPr>
          <w:color w:val="000000"/>
        </w:rPr>
      </w:pPr>
      <w:bookmarkStart w:id="63" w:name="_Toc28607"/>
      <w:r>
        <w:rPr>
          <w:color w:val="000000"/>
        </w:rPr>
        <w:t>建材生产阶段</w:t>
      </w:r>
      <w:bookmarkEnd w:id="6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0.000</w:t>
            </w:r>
          </w:p>
        </w:tc>
      </w:tr>
    </w:tbl>
    <w:p>
      <w:pPr>
        <w:pStyle w:val="5"/>
        <w:widowControl w:val="0"/>
        <w:jc w:val="both"/>
        <w:rPr>
          <w:color w:val="000000"/>
        </w:rPr>
      </w:pPr>
      <w:bookmarkStart w:id="64" w:name="_Toc5089"/>
      <w:r>
        <w:rPr>
          <w:color w:val="000000"/>
        </w:rPr>
        <w:t>建材运输阶段</w:t>
      </w:r>
      <w:bookmarkEnd w:id="6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0.000</w:t>
            </w:r>
          </w:p>
        </w:tc>
      </w:tr>
    </w:tbl>
    <w:p>
      <w:pPr>
        <w:pStyle w:val="4"/>
        <w:widowControl w:val="0"/>
        <w:jc w:val="both"/>
        <w:rPr>
          <w:color w:val="000000"/>
        </w:rPr>
      </w:pPr>
      <w:bookmarkStart w:id="65" w:name="_Toc12028"/>
      <w:r>
        <w:rPr>
          <w:color w:val="000000"/>
        </w:rPr>
        <w:t>建筑建造拆除碳排放</w:t>
      </w:r>
      <w:bookmarkEnd w:id="65"/>
    </w:p>
    <w:p>
      <w:pPr>
        <w:pStyle w:val="5"/>
        <w:widowControl w:val="0"/>
        <w:jc w:val="both"/>
        <w:rPr>
          <w:color w:val="000000"/>
        </w:rPr>
      </w:pPr>
      <w:bookmarkStart w:id="66" w:name="_Toc7573"/>
      <w:r>
        <w:rPr>
          <w:color w:val="000000"/>
        </w:rPr>
        <w:t>建筑建造</w:t>
      </w:r>
      <w:bookmarkEnd w:id="66"/>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1065.97</w:t>
            </w:r>
          </w:p>
        </w:tc>
        <w:tc>
          <w:tcPr>
            <w:vAlign w:val="center"/>
          </w:tcPr>
          <w:p>
            <w:r>
              <w:t>4</w:t>
            </w:r>
          </w:p>
        </w:tc>
        <w:tc>
          <w:tcPr>
            <w:vAlign w:val="center"/>
          </w:tcPr>
          <w:p>
            <w:r>
              <w:t>5.99</w:t>
            </w:r>
          </w:p>
        </w:tc>
        <w:tc>
          <w:tcPr>
            <w:vAlign w:val="center"/>
          </w:tcPr>
          <w:p>
            <w:r>
              <w:t>6.385</w:t>
            </w:r>
          </w:p>
        </w:tc>
      </w:tr>
    </w:tbl>
    <w:p>
      <w:pPr>
        <w:pStyle w:val="5"/>
        <w:widowControl w:val="0"/>
        <w:jc w:val="both"/>
        <w:rPr>
          <w:color w:val="000000"/>
        </w:rPr>
      </w:pPr>
      <w:bookmarkStart w:id="67" w:name="_Toc20163"/>
      <w:r>
        <w:rPr>
          <w:color w:val="000000"/>
        </w:rPr>
        <w:t>建筑拆除</w:t>
      </w:r>
      <w:bookmarkEnd w:id="67"/>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1065.97</w:t>
            </w:r>
          </w:p>
        </w:tc>
        <w:tc>
          <w:tcPr>
            <w:vAlign w:val="center"/>
          </w:tcPr>
          <w:p>
            <w:r>
              <w:t>4</w:t>
            </w:r>
          </w:p>
        </w:tc>
        <w:tc>
          <w:tcPr>
            <w:vAlign w:val="center"/>
          </w:tcPr>
          <w:p>
            <w:r>
              <w:t>5.99</w:t>
            </w:r>
          </w:p>
        </w:tc>
        <w:tc>
          <w:tcPr>
            <w:vAlign w:val="center"/>
          </w:tcPr>
          <w:p>
            <w:r>
              <w:t>6.385</w:t>
            </w:r>
          </w:p>
        </w:tc>
      </w:tr>
    </w:tbl>
    <w:p>
      <w:pPr>
        <w:pStyle w:val="4"/>
        <w:widowControl w:val="0"/>
        <w:jc w:val="both"/>
        <w:rPr>
          <w:color w:val="000000"/>
        </w:rPr>
      </w:pPr>
      <w:bookmarkStart w:id="68" w:name="_Toc20027"/>
      <w:r>
        <w:rPr>
          <w:color w:val="000000"/>
        </w:rPr>
        <w:t>碳汇</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0.000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69" w:name="_Toc14588"/>
      <w:r>
        <w:rPr>
          <w:color w:val="000000"/>
        </w:rPr>
        <w:t>建筑运行碳排放</w:t>
      </w:r>
      <w:bookmarkEnd w:id="69"/>
    </w:p>
    <w:tbl>
      <w:tblPr>
        <w:tblStyle w:val="18"/>
        <w:tblW w:w="93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29"/>
        <w:gridCol w:w="3115"/>
        <w:gridCol w:w="2267"/>
        <w:gridCol w:w="24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shd w:val="clear" w:color="auto" w:fill="E0E0E0"/>
            <w:vAlign w:val="center"/>
          </w:tcPr>
          <w:p>
            <w:pPr>
              <w:ind w:firstLine="0" w:firstLineChars="0"/>
              <w:jc w:val="center"/>
              <w:rPr>
                <w:lang w:val="en-US"/>
              </w:rPr>
            </w:pPr>
            <w:r>
              <w:rPr>
                <w:rFonts w:hint="eastAsia"/>
                <w:lang w:val="en-US"/>
              </w:rPr>
              <w:t>能耗分类</w:t>
            </w:r>
          </w:p>
        </w:tc>
        <w:tc>
          <w:tcPr>
            <w:tcW w:w="1671" w:type="pct"/>
            <w:shd w:val="clear" w:color="auto" w:fill="E0E0E0"/>
            <w:vAlign w:val="center"/>
          </w:tcPr>
          <w:p>
            <w:pPr>
              <w:ind w:firstLine="0" w:firstLineChars="0"/>
              <w:jc w:val="center"/>
              <w:rPr>
                <w:lang w:val="en-US"/>
              </w:rPr>
            </w:pPr>
            <w:r>
              <w:rPr>
                <w:rFonts w:hint="eastAsia"/>
                <w:lang w:val="en-US"/>
              </w:rPr>
              <w:t>能耗子类</w:t>
            </w:r>
          </w:p>
        </w:tc>
        <w:tc>
          <w:tcPr>
            <w:tcW w:w="1216" w:type="pct"/>
            <w:shd w:val="clear" w:color="auto" w:fill="E0E0E0"/>
            <w:vAlign w:val="center"/>
          </w:tcPr>
          <w:p>
            <w:pPr>
              <w:ind w:firstLine="0" w:firstLineChars="0"/>
              <w:jc w:val="center"/>
              <w:rPr>
                <w:lang w:val="en-US"/>
              </w:rPr>
            </w:pPr>
            <w:bookmarkStart w:id="70" w:name="设计建筑别名"/>
            <w:r>
              <w:rPr>
                <w:rFonts w:hint="eastAsia"/>
                <w:lang w:val="en-US"/>
              </w:rPr>
              <w:t>设计建筑</w:t>
            </w:r>
            <w:bookmarkEnd w:id="70"/>
          </w:p>
          <w:p>
            <w:pPr>
              <w:ind w:firstLine="0" w:firstLineChars="0"/>
              <w:jc w:val="center"/>
              <w:rPr>
                <w:lang w:val="en-US"/>
              </w:rPr>
            </w:pPr>
            <w:r>
              <w:rPr>
                <w:lang w:val="en-US"/>
              </w:rPr>
              <w:t>(kWh/</w:t>
            </w:r>
            <w:r>
              <w:rPr>
                <w:rFonts w:hint="eastAsia"/>
                <w:lang w:val="en-US"/>
              </w:rPr>
              <w:t>㎡</w:t>
            </w:r>
            <w:r>
              <w:rPr>
                <w:lang w:val="en-US"/>
              </w:rPr>
              <w:t>)</w:t>
            </w:r>
          </w:p>
        </w:tc>
        <w:tc>
          <w:tcPr>
            <w:tcW w:w="1293" w:type="pct"/>
            <w:shd w:val="clear" w:color="auto" w:fill="E0E0E0"/>
            <w:vAlign w:val="center"/>
          </w:tcPr>
          <w:p>
            <w:pPr>
              <w:ind w:firstLine="0" w:firstLineChars="0"/>
              <w:jc w:val="center"/>
              <w:rPr>
                <w:lang w:val="en-US"/>
              </w:rPr>
            </w:pPr>
            <w:r>
              <w:rPr>
                <w:rFonts w:hint="eastAsia"/>
                <w:lang w:val="en-US"/>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建筑负荷</w:t>
            </w:r>
          </w:p>
        </w:tc>
        <w:tc>
          <w:tcPr>
            <w:tcW w:w="1671" w:type="pct"/>
            <w:shd w:val="clear" w:color="auto" w:fill="FFFFFF"/>
            <w:vAlign w:val="center"/>
          </w:tcPr>
          <w:p>
            <w:pPr>
              <w:ind w:firstLine="0" w:firstLineChars="0"/>
              <w:jc w:val="center"/>
              <w:rPr>
                <w:lang w:val="en-US"/>
              </w:rPr>
            </w:pPr>
            <w:r>
              <w:rPr>
                <w:rFonts w:hint="eastAsia"/>
                <w:lang w:val="en-US"/>
              </w:rPr>
              <w:t>耗冷量</w:t>
            </w:r>
          </w:p>
        </w:tc>
        <w:tc>
          <w:tcPr>
            <w:tcW w:w="1216" w:type="pct"/>
            <w:vAlign w:val="center"/>
          </w:tcPr>
          <w:p>
            <w:pPr>
              <w:ind w:firstLine="0" w:firstLineChars="0"/>
              <w:jc w:val="center"/>
              <w:rPr>
                <w:lang w:val="en-US"/>
              </w:rPr>
            </w:pPr>
            <w:bookmarkStart w:id="71" w:name="耗冷量2"/>
            <w:r>
              <w:rPr>
                <w:rFonts w:hint="eastAsia"/>
                <w:lang w:val="en-US"/>
              </w:rPr>
              <w:t>0.00</w:t>
            </w:r>
            <w:bookmarkEnd w:id="7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耗热量</w:t>
            </w:r>
          </w:p>
        </w:tc>
        <w:tc>
          <w:tcPr>
            <w:tcW w:w="1216" w:type="pct"/>
            <w:vAlign w:val="center"/>
          </w:tcPr>
          <w:p>
            <w:pPr>
              <w:ind w:firstLine="0" w:firstLineChars="0"/>
              <w:jc w:val="center"/>
              <w:rPr>
                <w:lang w:val="en-US"/>
              </w:rPr>
            </w:pPr>
            <w:bookmarkStart w:id="72" w:name="耗热量2"/>
            <w:r>
              <w:rPr>
                <w:rFonts w:hint="eastAsia"/>
                <w:lang w:val="en-US"/>
              </w:rPr>
              <w:t>0.00</w:t>
            </w:r>
            <w:bookmarkEnd w:id="7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3" w:name="耗冷耗热量2"/>
            <w:r>
              <w:rPr>
                <w:rFonts w:hint="eastAsia"/>
                <w:lang w:val="en-US"/>
              </w:rPr>
              <w:t>0.00</w:t>
            </w:r>
            <w:bookmarkEnd w:id="7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热回收</w:t>
            </w:r>
          </w:p>
        </w:tc>
        <w:tc>
          <w:tcPr>
            <w:tcW w:w="1671" w:type="pct"/>
            <w:shd w:val="clear" w:color="auto" w:fill="FFFFFF"/>
            <w:vAlign w:val="center"/>
          </w:tcPr>
          <w:p>
            <w:pPr>
              <w:ind w:firstLine="0" w:firstLineChars="0"/>
              <w:jc w:val="center"/>
              <w:rPr>
                <w:lang w:val="en-US"/>
              </w:rPr>
            </w:pPr>
            <w:r>
              <w:rPr>
                <w:rFonts w:hint="eastAsia"/>
                <w:lang w:val="en-US"/>
              </w:rPr>
              <w:t>供冷</w:t>
            </w:r>
          </w:p>
        </w:tc>
        <w:tc>
          <w:tcPr>
            <w:tcW w:w="1216" w:type="pct"/>
            <w:vAlign w:val="center"/>
          </w:tcPr>
          <w:p>
            <w:pPr>
              <w:ind w:firstLine="0" w:firstLineChars="0"/>
              <w:jc w:val="center"/>
              <w:rPr>
                <w:lang w:val="en-US"/>
              </w:rPr>
            </w:pPr>
            <w:bookmarkStart w:id="74" w:name="热回收供冷负荷"/>
            <w:r>
              <w:rPr>
                <w:rFonts w:hint="eastAsia"/>
                <w:lang w:val="en-US"/>
              </w:rPr>
              <w:t>0.00</w:t>
            </w:r>
            <w:bookmarkEnd w:id="7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供暖</w:t>
            </w:r>
          </w:p>
        </w:tc>
        <w:tc>
          <w:tcPr>
            <w:tcW w:w="1216" w:type="pct"/>
            <w:vAlign w:val="center"/>
          </w:tcPr>
          <w:p>
            <w:pPr>
              <w:ind w:firstLine="0" w:firstLineChars="0"/>
              <w:jc w:val="center"/>
              <w:rPr>
                <w:lang w:val="en-US"/>
              </w:rPr>
            </w:pPr>
            <w:bookmarkStart w:id="75" w:name="热回收供暖负荷"/>
            <w:r>
              <w:rPr>
                <w:rFonts w:hint="eastAsia"/>
                <w:lang w:val="en-US"/>
              </w:rPr>
              <w:t>0.00</w:t>
            </w:r>
            <w:bookmarkEnd w:id="7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6" w:name="热回收负荷"/>
            <w:r>
              <w:rPr>
                <w:rFonts w:hint="eastAsia"/>
                <w:lang w:val="en-US"/>
              </w:rPr>
              <w:t>0.00</w:t>
            </w:r>
            <w:bookmarkEnd w:id="7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供冷电耗</w:t>
            </w:r>
          </w:p>
          <w:p>
            <w:pPr>
              <w:ind w:firstLine="0" w:firstLineChars="0"/>
              <w:jc w:val="center"/>
              <w:rPr>
                <w:lang w:val="en-US"/>
              </w:rPr>
            </w:pPr>
            <w:r>
              <w:rPr>
                <w:rFonts w:hint="eastAsia"/>
                <w:lang w:val="en-US"/>
              </w:rPr>
              <w:t>(</w:t>
            </w:r>
            <w:r>
              <w:rPr>
                <w:lang w:val="en-US"/>
              </w:rPr>
              <w:t>Ec)</w:t>
            </w:r>
          </w:p>
        </w:tc>
        <w:tc>
          <w:tcPr>
            <w:tcW w:w="1671" w:type="pct"/>
            <w:vAlign w:val="center"/>
          </w:tcPr>
          <w:p>
            <w:pPr>
              <w:ind w:firstLine="0" w:firstLineChars="0"/>
              <w:jc w:val="center"/>
              <w:rPr>
                <w:lang w:val="en-US"/>
              </w:rPr>
            </w:pPr>
            <w:r>
              <w:rPr>
                <w:rFonts w:hint="eastAsia"/>
                <w:lang w:val="en-US"/>
              </w:rPr>
              <w:t>中央冷源</w:t>
            </w:r>
          </w:p>
        </w:tc>
        <w:tc>
          <w:tcPr>
            <w:tcW w:w="1216" w:type="pct"/>
            <w:vAlign w:val="center"/>
          </w:tcPr>
          <w:p>
            <w:pPr>
              <w:ind w:firstLine="0" w:firstLineChars="0"/>
              <w:jc w:val="center"/>
              <w:rPr>
                <w:lang w:val="en-US"/>
              </w:rPr>
            </w:pPr>
            <w:bookmarkStart w:id="77" w:name="冷源能耗"/>
            <w:r>
              <w:rPr>
                <w:lang w:val="en-US"/>
              </w:rPr>
              <w:t>0.00</w:t>
            </w:r>
            <w:bookmarkEnd w:id="7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冷却水泵</w:t>
            </w:r>
          </w:p>
        </w:tc>
        <w:tc>
          <w:tcPr>
            <w:tcW w:w="1216" w:type="pct"/>
            <w:vAlign w:val="center"/>
          </w:tcPr>
          <w:p>
            <w:pPr>
              <w:ind w:firstLine="0" w:firstLineChars="0"/>
              <w:jc w:val="center"/>
              <w:rPr>
                <w:lang w:val="en-US"/>
              </w:rPr>
            </w:pPr>
            <w:bookmarkStart w:id="78" w:name="冷却水泵能耗"/>
            <w:r>
              <w:rPr>
                <w:lang w:val="en-US"/>
              </w:rPr>
              <w:t>0.00</w:t>
            </w:r>
            <w:bookmarkEnd w:id="7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冷冻水泵</w:t>
            </w:r>
          </w:p>
        </w:tc>
        <w:tc>
          <w:tcPr>
            <w:tcW w:w="1216" w:type="pct"/>
            <w:vAlign w:val="center"/>
          </w:tcPr>
          <w:p>
            <w:pPr>
              <w:ind w:firstLine="0" w:firstLineChars="0"/>
              <w:jc w:val="center"/>
              <w:rPr>
                <w:lang w:val="en-US"/>
              </w:rPr>
            </w:pPr>
            <w:bookmarkStart w:id="79" w:name="冷冻水泵能耗"/>
            <w:r>
              <w:rPr>
                <w:lang w:val="en-US"/>
              </w:rPr>
              <w:t>0.00</w:t>
            </w:r>
            <w:bookmarkEnd w:id="7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w:t>
            </w:r>
            <w:r>
              <w:rPr>
                <w:lang w:val="en-US"/>
              </w:rPr>
              <w:t>塔</w:t>
            </w:r>
          </w:p>
        </w:tc>
        <w:tc>
          <w:tcPr>
            <w:tcW w:w="1216" w:type="pct"/>
            <w:vAlign w:val="center"/>
          </w:tcPr>
          <w:p>
            <w:pPr>
              <w:ind w:firstLine="0" w:firstLineChars="0"/>
              <w:jc w:val="center"/>
              <w:rPr>
                <w:lang w:val="en-US"/>
              </w:rPr>
            </w:pPr>
            <w:bookmarkStart w:id="80" w:name="冷却塔能耗"/>
            <w:r>
              <w:rPr>
                <w:rFonts w:hint="eastAsia"/>
                <w:lang w:val="en-US"/>
              </w:rPr>
              <w:t>0.00</w:t>
            </w:r>
            <w:bookmarkEnd w:id="8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多联机/单元式空调</w:t>
            </w:r>
          </w:p>
        </w:tc>
        <w:tc>
          <w:tcPr>
            <w:tcW w:w="1216" w:type="pct"/>
            <w:vAlign w:val="center"/>
          </w:tcPr>
          <w:p>
            <w:pPr>
              <w:ind w:firstLine="0" w:firstLineChars="0"/>
              <w:jc w:val="center"/>
              <w:rPr>
                <w:lang w:val="en-US"/>
              </w:rPr>
            </w:pPr>
            <w:bookmarkStart w:id="81" w:name="单元式空调能耗"/>
            <w:r>
              <w:rPr>
                <w:lang w:val="en-US"/>
              </w:rPr>
              <w:t>0.00</w:t>
            </w:r>
            <w:bookmarkEnd w:id="8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供冷合计</w:t>
            </w:r>
          </w:p>
        </w:tc>
        <w:tc>
          <w:tcPr>
            <w:tcW w:w="1216" w:type="pct"/>
            <w:vAlign w:val="center"/>
          </w:tcPr>
          <w:p>
            <w:pPr>
              <w:ind w:firstLine="0" w:firstLineChars="0"/>
              <w:jc w:val="center"/>
              <w:rPr>
                <w:lang w:val="en-US"/>
              </w:rPr>
            </w:pPr>
            <w:bookmarkStart w:id="82" w:name="空调能耗"/>
            <w:r>
              <w:rPr>
                <w:lang w:val="en-US"/>
              </w:rPr>
              <w:t>0.00</w:t>
            </w:r>
            <w:bookmarkEnd w:id="8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供暖电耗</w:t>
            </w:r>
          </w:p>
          <w:p>
            <w:pPr>
              <w:ind w:firstLine="0" w:firstLineChars="0"/>
              <w:jc w:val="center"/>
              <w:rPr>
                <w:lang w:val="en-US"/>
              </w:rPr>
            </w:pPr>
            <w:r>
              <w:rPr>
                <w:rFonts w:hint="eastAsia"/>
                <w:lang w:val="en-US"/>
              </w:rPr>
              <w:t>(</w:t>
            </w:r>
            <w:r>
              <w:rPr>
                <w:lang w:val="en-US"/>
              </w:rPr>
              <w:t>Eh)</w:t>
            </w:r>
          </w:p>
        </w:tc>
        <w:tc>
          <w:tcPr>
            <w:tcW w:w="1671" w:type="pct"/>
            <w:shd w:val="clear" w:color="auto" w:fill="auto"/>
            <w:vAlign w:val="center"/>
          </w:tcPr>
          <w:p>
            <w:pPr>
              <w:ind w:firstLine="0" w:firstLineChars="0"/>
              <w:jc w:val="center"/>
              <w:rPr>
                <w:lang w:val="en-US"/>
              </w:rPr>
            </w:pPr>
            <w:r>
              <w:rPr>
                <w:rFonts w:hint="eastAsia"/>
                <w:lang w:val="en-US"/>
              </w:rPr>
              <w:t>中央热源</w:t>
            </w:r>
          </w:p>
        </w:tc>
        <w:tc>
          <w:tcPr>
            <w:tcW w:w="1216" w:type="pct"/>
            <w:vAlign w:val="center"/>
          </w:tcPr>
          <w:p>
            <w:pPr>
              <w:ind w:firstLine="0" w:firstLineChars="0"/>
              <w:jc w:val="center"/>
              <w:rPr>
                <w:lang w:val="en-US"/>
              </w:rPr>
            </w:pPr>
            <w:bookmarkStart w:id="83" w:name="热源能耗"/>
            <w:r>
              <w:rPr>
                <w:lang w:val="en-US"/>
              </w:rPr>
              <w:t>0.00</w:t>
            </w:r>
            <w:bookmarkEnd w:id="8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供暖水泵</w:t>
            </w:r>
          </w:p>
        </w:tc>
        <w:tc>
          <w:tcPr>
            <w:tcW w:w="1216" w:type="pct"/>
            <w:vAlign w:val="center"/>
          </w:tcPr>
          <w:p>
            <w:pPr>
              <w:ind w:firstLine="0" w:firstLineChars="0"/>
              <w:jc w:val="center"/>
              <w:rPr>
                <w:lang w:val="en-US"/>
              </w:rPr>
            </w:pPr>
            <w:bookmarkStart w:id="84" w:name="热水泵能耗"/>
            <w:r>
              <w:rPr>
                <w:lang w:val="en-US"/>
              </w:rPr>
              <w:t>0.00</w:t>
            </w:r>
            <w:bookmarkEnd w:id="8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1216" w:type="pct"/>
            <w:vAlign w:val="center"/>
          </w:tcPr>
          <w:p>
            <w:pPr>
              <w:ind w:firstLine="0" w:firstLineChars="0"/>
              <w:jc w:val="center"/>
              <w:rPr>
                <w:lang w:val="en-US"/>
              </w:rPr>
            </w:pPr>
            <w:bookmarkStart w:id="85" w:name="供暖热源侧水泵能耗"/>
            <w:r>
              <w:rPr>
                <w:rFonts w:hint="eastAsia"/>
                <w:lang w:val="en-US"/>
              </w:rPr>
              <w:t>0.00</w:t>
            </w:r>
            <w:bookmarkEnd w:id="8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多联机/单元式热泵/壁挂炉</w:t>
            </w:r>
          </w:p>
        </w:tc>
        <w:tc>
          <w:tcPr>
            <w:tcW w:w="1216" w:type="pct"/>
            <w:vAlign w:val="center"/>
          </w:tcPr>
          <w:p>
            <w:pPr>
              <w:ind w:firstLine="0" w:firstLineChars="0"/>
              <w:jc w:val="center"/>
              <w:rPr>
                <w:lang w:val="en-US"/>
              </w:rPr>
            </w:pPr>
            <w:bookmarkStart w:id="86" w:name="单元式热泵能耗"/>
            <w:r>
              <w:rPr>
                <w:lang w:val="en-US"/>
              </w:rPr>
              <w:t>0.00</w:t>
            </w:r>
            <w:bookmarkEnd w:id="8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供暖合计</w:t>
            </w:r>
          </w:p>
        </w:tc>
        <w:tc>
          <w:tcPr>
            <w:tcW w:w="1216" w:type="pct"/>
            <w:vAlign w:val="center"/>
          </w:tcPr>
          <w:p>
            <w:pPr>
              <w:ind w:firstLine="0" w:firstLineChars="0"/>
              <w:jc w:val="center"/>
              <w:rPr>
                <w:lang w:val="en-US"/>
              </w:rPr>
            </w:pPr>
            <w:bookmarkStart w:id="87" w:name="供暖能耗"/>
            <w:r>
              <w:rPr>
                <w:lang w:val="en-US"/>
              </w:rPr>
              <w:t>0.00</w:t>
            </w:r>
            <w:bookmarkEnd w:id="8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空调风机电耗</w:t>
            </w:r>
          </w:p>
          <w:p>
            <w:pPr>
              <w:ind w:firstLine="0" w:firstLineChars="0"/>
              <w:jc w:val="center"/>
              <w:rPr>
                <w:lang w:val="en-US"/>
              </w:rPr>
            </w:pPr>
            <w:r>
              <w:rPr>
                <w:rFonts w:hint="eastAsia"/>
                <w:lang w:val="en-US"/>
              </w:rPr>
              <w:t>(</w:t>
            </w:r>
            <w:r>
              <w:rPr>
                <w:lang w:val="en-US"/>
              </w:rPr>
              <w:t>Ef)</w:t>
            </w:r>
          </w:p>
        </w:tc>
        <w:tc>
          <w:tcPr>
            <w:tcW w:w="1671" w:type="pct"/>
            <w:shd w:val="clear" w:color="auto" w:fill="FFFFFF"/>
            <w:vAlign w:val="center"/>
          </w:tcPr>
          <w:p>
            <w:pPr>
              <w:ind w:firstLine="0" w:firstLineChars="0"/>
              <w:jc w:val="center"/>
              <w:rPr>
                <w:lang w:val="en-US"/>
              </w:rPr>
            </w:pPr>
            <w:r>
              <w:rPr>
                <w:rFonts w:hint="eastAsia"/>
                <w:lang w:val="en-US"/>
              </w:rPr>
              <w:t>新排风</w:t>
            </w:r>
          </w:p>
        </w:tc>
        <w:tc>
          <w:tcPr>
            <w:tcW w:w="1216" w:type="pct"/>
            <w:vAlign w:val="center"/>
          </w:tcPr>
          <w:p>
            <w:pPr>
              <w:ind w:firstLine="0" w:firstLineChars="0"/>
              <w:jc w:val="center"/>
              <w:rPr>
                <w:lang w:val="en-US"/>
              </w:rPr>
            </w:pPr>
            <w:bookmarkStart w:id="88" w:name="新排风系统能耗"/>
            <w:r>
              <w:rPr>
                <w:rFonts w:hint="eastAsia"/>
                <w:lang w:val="en-US"/>
              </w:rPr>
              <w:t>0.00</w:t>
            </w:r>
            <w:bookmarkEnd w:id="8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风机盘管</w:t>
            </w:r>
          </w:p>
        </w:tc>
        <w:tc>
          <w:tcPr>
            <w:tcW w:w="1216" w:type="pct"/>
            <w:vAlign w:val="center"/>
          </w:tcPr>
          <w:p>
            <w:pPr>
              <w:ind w:firstLine="0" w:firstLineChars="0"/>
              <w:jc w:val="center"/>
              <w:rPr>
                <w:lang w:val="en-US"/>
              </w:rPr>
            </w:pPr>
            <w:bookmarkStart w:id="89" w:name="风机盘管能耗"/>
            <w:r>
              <w:rPr>
                <w:rFonts w:hint="eastAsia"/>
                <w:lang w:val="en-US"/>
              </w:rPr>
              <w:t>0.00</w:t>
            </w:r>
            <w:bookmarkEnd w:id="8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全空气系统</w:t>
            </w:r>
          </w:p>
        </w:tc>
        <w:tc>
          <w:tcPr>
            <w:tcW w:w="1216" w:type="pct"/>
            <w:vAlign w:val="center"/>
          </w:tcPr>
          <w:p>
            <w:pPr>
              <w:ind w:firstLine="0" w:firstLineChars="0"/>
              <w:jc w:val="center"/>
              <w:rPr>
                <w:lang w:val="en-US"/>
              </w:rPr>
            </w:pPr>
            <w:bookmarkStart w:id="90" w:name="全空气系统能耗"/>
            <w:r>
              <w:rPr>
                <w:rFonts w:hint="eastAsia"/>
                <w:lang w:val="en-US"/>
              </w:rPr>
              <w:t>0.00</w:t>
            </w:r>
            <w:bookmarkEnd w:id="9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风机合计</w:t>
            </w:r>
          </w:p>
        </w:tc>
        <w:tc>
          <w:tcPr>
            <w:tcW w:w="1216" w:type="pct"/>
            <w:vAlign w:val="center"/>
          </w:tcPr>
          <w:p>
            <w:pPr>
              <w:ind w:firstLine="0" w:firstLineChars="0"/>
              <w:jc w:val="center"/>
              <w:rPr>
                <w:lang w:val="en-US"/>
              </w:rPr>
            </w:pPr>
            <w:bookmarkStart w:id="91" w:name="空调动力能耗"/>
            <w:r>
              <w:rPr>
                <w:rFonts w:hint="eastAsia"/>
                <w:lang w:val="en-US"/>
              </w:rPr>
              <w:t>0.00</w:t>
            </w:r>
            <w:bookmarkEnd w:id="9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1216" w:type="pct"/>
            <w:vAlign w:val="center"/>
          </w:tcPr>
          <w:p>
            <w:pPr>
              <w:ind w:firstLine="0" w:firstLineChars="0"/>
              <w:jc w:val="center"/>
              <w:rPr>
                <w:lang w:val="en-US"/>
              </w:rPr>
            </w:pPr>
            <w:bookmarkStart w:id="92" w:name="照明能耗"/>
            <w:r>
              <w:rPr>
                <w:rFonts w:hint="eastAsia"/>
                <w:lang w:val="en-US"/>
              </w:rPr>
              <w:t>0.00</w:t>
            </w:r>
            <w:bookmarkEnd w:id="9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插座</w:t>
            </w:r>
            <w:r>
              <w:rPr>
                <w:lang w:val="en-US"/>
              </w:rPr>
              <w:t>设备电耗</w:t>
            </w:r>
          </w:p>
        </w:tc>
        <w:tc>
          <w:tcPr>
            <w:tcW w:w="1216" w:type="pct"/>
            <w:vAlign w:val="center"/>
          </w:tcPr>
          <w:p>
            <w:pPr>
              <w:ind w:firstLine="0" w:firstLineChars="0"/>
              <w:jc w:val="center"/>
              <w:rPr>
                <w:lang w:val="en-US"/>
              </w:rPr>
            </w:pPr>
            <w:bookmarkStart w:id="93" w:name="设备用电"/>
            <w:r>
              <w:rPr>
                <w:rFonts w:hint="eastAsia"/>
                <w:lang w:val="en-US"/>
              </w:rPr>
              <w:t>-</w:t>
            </w:r>
            <w:bookmarkEnd w:id="9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其他电耗</w:t>
            </w:r>
            <w:r>
              <w:rPr>
                <w:lang w:val="en-US"/>
              </w:rPr>
              <w:t>(Eo)</w:t>
            </w:r>
          </w:p>
        </w:tc>
        <w:tc>
          <w:tcPr>
            <w:tcW w:w="1671" w:type="pct"/>
            <w:shd w:val="clear" w:color="auto" w:fill="FFFFFF"/>
            <w:vAlign w:val="center"/>
          </w:tcPr>
          <w:p>
            <w:pPr>
              <w:ind w:firstLine="0" w:firstLineChars="0"/>
              <w:jc w:val="center"/>
              <w:rPr>
                <w:lang w:val="en-US"/>
              </w:rPr>
            </w:pPr>
            <w:r>
              <w:rPr>
                <w:rFonts w:hint="eastAsia"/>
                <w:lang w:val="en-US"/>
              </w:rPr>
              <w:t>电梯</w:t>
            </w:r>
          </w:p>
        </w:tc>
        <w:tc>
          <w:tcPr>
            <w:tcW w:w="1216" w:type="pct"/>
            <w:vAlign w:val="center"/>
          </w:tcPr>
          <w:p>
            <w:pPr>
              <w:ind w:firstLine="0" w:firstLineChars="0"/>
              <w:jc w:val="center"/>
              <w:rPr>
                <w:lang w:val="en-US"/>
              </w:rPr>
            </w:pPr>
            <w:bookmarkStart w:id="94" w:name="动力系统能耗"/>
            <w:r>
              <w:rPr>
                <w:rFonts w:hint="eastAsia"/>
                <w:lang w:val="en-US"/>
              </w:rPr>
              <w:t>0.00</w:t>
            </w:r>
            <w:bookmarkEnd w:id="9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独立排风机</w:t>
            </w:r>
          </w:p>
        </w:tc>
        <w:tc>
          <w:tcPr>
            <w:tcW w:w="1216" w:type="pct"/>
            <w:vAlign w:val="center"/>
          </w:tcPr>
          <w:p>
            <w:pPr>
              <w:ind w:firstLine="0" w:firstLineChars="0"/>
              <w:jc w:val="center"/>
              <w:rPr>
                <w:lang w:val="en-US"/>
              </w:rPr>
            </w:pPr>
            <w:bookmarkStart w:id="95" w:name="排风机能耗"/>
            <w:r>
              <w:rPr>
                <w:rFonts w:hint="eastAsia"/>
                <w:lang w:val="en-US"/>
              </w:rPr>
              <w:t>0.00</w:t>
            </w:r>
            <w:bookmarkEnd w:id="9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生活热水</w:t>
            </w:r>
          </w:p>
        </w:tc>
        <w:tc>
          <w:tcPr>
            <w:tcW w:w="1216" w:type="pct"/>
            <w:vAlign w:val="center"/>
          </w:tcPr>
          <w:p>
            <w:pPr>
              <w:ind w:firstLine="0" w:firstLineChars="0"/>
              <w:jc w:val="center"/>
              <w:rPr>
                <w:lang w:val="en-US"/>
              </w:rPr>
            </w:pPr>
            <w:bookmarkStart w:id="96" w:name="热水系统能耗"/>
            <w:r>
              <w:rPr>
                <w:rFonts w:hint="eastAsia"/>
                <w:lang w:val="en-US"/>
              </w:rPr>
              <w:t>0.00</w:t>
            </w:r>
            <w:bookmarkEnd w:id="96"/>
            <w:r>
              <w:rPr>
                <w:lang w:val="en-US"/>
              </w:rPr>
              <w:t xml:space="preserve"> </w:t>
            </w:r>
            <w:bookmarkStart w:id="97" w:name="生活热水供需关系"/>
            <w:r>
              <w:t>(太阳能供大于需)</w:t>
            </w:r>
            <w:bookmarkEnd w:id="97"/>
          </w:p>
        </w:tc>
        <w:tc>
          <w:tcPr>
            <w:tcW w:w="1293" w:type="pct"/>
          </w:tcPr>
          <w:p>
            <w:pPr>
              <w:ind w:firstLine="0" w:firstLineChars="0"/>
              <w:jc w:val="center"/>
              <w:rPr>
                <w:lang w:val="en-US"/>
              </w:rPr>
            </w:pPr>
            <w:r>
              <w:rPr>
                <w:rFonts w:hint="eastAsia"/>
                <w:lang w:val="en-US"/>
              </w:rPr>
              <w:t>扣减了太阳能热水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其他设备</w:t>
            </w:r>
          </w:p>
        </w:tc>
        <w:tc>
          <w:tcPr>
            <w:tcW w:w="1216" w:type="pct"/>
            <w:vAlign w:val="center"/>
          </w:tcPr>
          <w:p>
            <w:pPr>
              <w:ind w:firstLine="0" w:firstLineChars="0"/>
              <w:jc w:val="center"/>
              <w:rPr>
                <w:lang w:val="en-US"/>
              </w:rPr>
            </w:pPr>
            <w:bookmarkStart w:id="98" w:name="其他设备能耗"/>
            <w:r>
              <w:rPr>
                <w:rFonts w:hint="eastAsia"/>
                <w:lang w:val="en-US"/>
              </w:rPr>
              <w:t>0.00</w:t>
            </w:r>
            <w:bookmarkEnd w:id="9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合计</w:t>
            </w:r>
          </w:p>
        </w:tc>
        <w:tc>
          <w:tcPr>
            <w:tcW w:w="1216" w:type="pct"/>
            <w:vAlign w:val="center"/>
          </w:tcPr>
          <w:p>
            <w:pPr>
              <w:ind w:firstLine="0" w:firstLineChars="0"/>
              <w:jc w:val="center"/>
              <w:rPr>
                <w:lang w:val="en-US"/>
              </w:rPr>
            </w:pPr>
            <w:bookmarkStart w:id="99" w:name="其他能耗"/>
            <w:r>
              <w:rPr>
                <w:rFonts w:hint="eastAsia"/>
                <w:lang w:val="en-US"/>
              </w:rPr>
              <w:t>0.00</w:t>
            </w:r>
            <w:bookmarkEnd w:id="9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可再生能源</w:t>
            </w:r>
          </w:p>
          <w:p>
            <w:pPr>
              <w:ind w:firstLine="0" w:firstLineChars="0"/>
              <w:jc w:val="center"/>
              <w:rPr>
                <w:lang w:val="en-US"/>
              </w:rPr>
            </w:pPr>
            <w:r>
              <w:rPr>
                <w:rFonts w:hint="eastAsia"/>
                <w:lang w:val="en-US"/>
              </w:rPr>
              <w:t>(</w:t>
            </w:r>
            <w:r>
              <w:rPr>
                <w:lang w:val="en-US"/>
              </w:rPr>
              <w:t>Er)</w:t>
            </w:r>
          </w:p>
        </w:tc>
        <w:tc>
          <w:tcPr>
            <w:tcW w:w="1671" w:type="pct"/>
            <w:shd w:val="clear" w:color="auto" w:fill="FFFFFF"/>
            <w:vAlign w:val="center"/>
          </w:tcPr>
          <w:p>
            <w:pPr>
              <w:ind w:firstLine="0" w:firstLineChars="0"/>
              <w:jc w:val="center"/>
              <w:rPr>
                <w:lang w:val="en-US"/>
              </w:rPr>
            </w:pPr>
            <w:r>
              <w:rPr>
                <w:rFonts w:hint="eastAsia"/>
                <w:lang w:val="en-US"/>
              </w:rPr>
              <w:t>光伏发电(</w:t>
            </w:r>
            <w:r>
              <w:rPr>
                <w:lang w:val="en-US"/>
              </w:rPr>
              <w:t>Ep)</w:t>
            </w:r>
          </w:p>
        </w:tc>
        <w:tc>
          <w:tcPr>
            <w:tcW w:w="1216" w:type="pct"/>
            <w:vAlign w:val="center"/>
          </w:tcPr>
          <w:p>
            <w:pPr>
              <w:ind w:firstLine="0" w:firstLineChars="0"/>
              <w:jc w:val="center"/>
              <w:rPr>
                <w:lang w:val="en-US"/>
              </w:rPr>
            </w:pPr>
            <w:bookmarkStart w:id="100" w:name="光伏能耗"/>
            <w:r>
              <w:rPr>
                <w:rFonts w:hint="eastAsia"/>
                <w:lang w:val="en-US"/>
              </w:rPr>
              <w:t>0.00</w:t>
            </w:r>
            <w:bookmarkEnd w:id="10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风力</w:t>
            </w:r>
            <w:r>
              <w:rPr>
                <w:lang w:val="en-US"/>
              </w:rPr>
              <w:t>发电</w:t>
            </w:r>
            <w:r>
              <w:rPr>
                <w:rFonts w:hint="eastAsia"/>
                <w:lang w:val="en-US"/>
              </w:rPr>
              <w:t>(</w:t>
            </w:r>
            <w:r>
              <w:rPr>
                <w:lang w:val="en-US"/>
              </w:rPr>
              <w:t>Ew</w:t>
            </w:r>
            <w:r>
              <w:rPr>
                <w:rFonts w:hint="eastAsia"/>
                <w:lang w:val="en-US"/>
              </w:rPr>
              <w:t>)</w:t>
            </w:r>
          </w:p>
        </w:tc>
        <w:tc>
          <w:tcPr>
            <w:tcW w:w="1216" w:type="pct"/>
            <w:vAlign w:val="center"/>
          </w:tcPr>
          <w:p>
            <w:pPr>
              <w:ind w:firstLine="0" w:firstLineChars="0"/>
              <w:jc w:val="center"/>
              <w:rPr>
                <w:lang w:val="en-US"/>
              </w:rPr>
            </w:pPr>
            <w:bookmarkStart w:id="101" w:name="风力能耗"/>
            <w:r>
              <w:rPr>
                <w:rFonts w:hint="eastAsia"/>
                <w:lang w:val="en-US"/>
              </w:rPr>
              <w:t>0.00</w:t>
            </w:r>
            <w:bookmarkEnd w:id="10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：电耗</w:t>
            </w:r>
            <w:r>
              <w:rPr>
                <w:lang w:val="en-US"/>
              </w:rPr>
              <w:t>(kWh/</w:t>
            </w:r>
            <w:r>
              <w:rPr>
                <w:rFonts w:hint="eastAsia"/>
                <w:lang w:val="en-US"/>
              </w:rPr>
              <w:t>㎡</w:t>
            </w:r>
            <w:r>
              <w:rPr>
                <w:lang w:val="en-US"/>
              </w:rPr>
              <w:t>)</w:t>
            </w:r>
          </w:p>
        </w:tc>
        <w:tc>
          <w:tcPr>
            <w:tcW w:w="1216" w:type="pct"/>
            <w:vAlign w:val="center"/>
          </w:tcPr>
          <w:p>
            <w:pPr>
              <w:ind w:firstLine="0" w:firstLineChars="0"/>
              <w:jc w:val="center"/>
              <w:rPr>
                <w:lang w:val="en-US"/>
              </w:rPr>
            </w:pPr>
            <w:bookmarkStart w:id="102" w:name="建筑总能耗"/>
            <w:r>
              <w:rPr>
                <w:lang w:val="en-US"/>
              </w:rPr>
              <w:t>-1.00</w:t>
            </w:r>
            <w:bookmarkEnd w:id="102"/>
          </w:p>
        </w:tc>
        <w:tc>
          <w:tcPr>
            <w:tcW w:w="1293" w:type="pct"/>
          </w:tcPr>
          <w:p>
            <w:pPr>
              <w:ind w:firstLine="0" w:firstLineChars="0"/>
              <w:jc w:val="center"/>
              <w:rPr>
                <w:lang w:val="en-US"/>
              </w:rPr>
            </w:pPr>
            <w:r>
              <w:rPr>
                <w:lang w:val="en-US"/>
              </w:rPr>
              <w:t>E1=Ec+Eh+Ef+Eo-Er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：标煤</w:t>
            </w:r>
            <w:r>
              <w:rPr>
                <w:lang w:val="en-US"/>
              </w:rPr>
              <w:t>(kgce/</w:t>
            </w:r>
            <w:r>
              <w:rPr>
                <w:rFonts w:hint="eastAsia"/>
                <w:lang w:val="en-US"/>
              </w:rPr>
              <w:t>㎡</w:t>
            </w:r>
            <w:r>
              <w:rPr>
                <w:lang w:val="en-US"/>
              </w:rPr>
              <w:t>)</w:t>
            </w:r>
          </w:p>
        </w:tc>
        <w:tc>
          <w:tcPr>
            <w:tcW w:w="1216" w:type="pct"/>
            <w:vAlign w:val="center"/>
          </w:tcPr>
          <w:p>
            <w:pPr>
              <w:ind w:firstLine="0" w:firstLineChars="0"/>
              <w:jc w:val="center"/>
              <w:rPr>
                <w:lang w:val="en-US"/>
              </w:rPr>
            </w:pPr>
            <w:bookmarkStart w:id="103" w:name="建筑总能耗_标煤"/>
            <w:r>
              <w:rPr>
                <w:rFonts w:hint="eastAsia"/>
                <w:lang w:val="en-US"/>
              </w:rPr>
              <w:t>-0.33</w:t>
            </w:r>
            <w:bookmarkEnd w:id="103"/>
          </w:p>
        </w:tc>
        <w:tc>
          <w:tcPr>
            <w:tcW w:w="1293" w:type="pct"/>
          </w:tcPr>
          <w:p>
            <w:pPr>
              <w:ind w:firstLine="0" w:firstLineChars="0"/>
              <w:jc w:val="center"/>
              <w:rPr>
                <w:lang w:val="en-US"/>
              </w:rPr>
            </w:pPr>
          </w:p>
        </w:tc>
      </w:tr>
    </w:tbl>
    <w:p/>
    <w:p>
      <w:pPr>
        <w:widowControl w:val="0"/>
        <w:jc w:val="both"/>
        <w:rPr>
          <w:color w:val="000000"/>
        </w:rPr>
      </w:pPr>
    </w:p>
    <w:p>
      <w:pPr>
        <w:pStyle w:val="4"/>
        <w:widowControl w:val="0"/>
        <w:jc w:val="both"/>
        <w:rPr>
          <w:color w:val="000000"/>
        </w:rPr>
      </w:pPr>
      <w:bookmarkStart w:id="104" w:name="_Toc5810"/>
      <w:r>
        <w:rPr>
          <w:color w:val="000000"/>
        </w:rPr>
        <w:t>全生命周期碳排放</w:t>
      </w:r>
      <w:bookmarkEnd w:id="104"/>
    </w:p>
    <w:p>
      <w:pPr>
        <w:pStyle w:val="5"/>
        <w:widowControl w:val="0"/>
        <w:jc w:val="both"/>
        <w:rPr>
          <w:color w:val="000000"/>
        </w:rPr>
      </w:pPr>
      <w:bookmarkStart w:id="105" w:name="_Toc22355"/>
      <w:r>
        <w:rPr>
          <w:color w:val="000000"/>
        </w:rPr>
        <w:t>碳排放强度</w:t>
      </w:r>
      <w:bookmarkEnd w:id="10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w:t>
            </w:r>
          </w:p>
        </w:tc>
        <w:tc>
          <w:tcPr>
            <w:vAlign w:val="center"/>
          </w:tcPr>
          <w:p>
            <w:r>
              <w:t>0.00</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06" w:name="_Toc11537"/>
      <w:r>
        <w:rPr>
          <w:color w:val="000000"/>
        </w:rPr>
        <w:t>总碳排放量</w:t>
      </w:r>
      <w:bookmarkEnd w:id="10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0.000</w:t>
            </w:r>
          </w:p>
        </w:tc>
        <w:tc>
          <w:tcPr>
            <w:vAlign w:val="center"/>
          </w:tcPr>
          <w:p>
            <w:r>
              <w:t>0.000</w:t>
            </w:r>
          </w:p>
        </w:tc>
      </w:tr>
    </w:tbl>
    <w:p>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07" w:name="_Toc13856"/>
      <w:r>
        <w:rPr>
          <w:color w:val="000000"/>
        </w:rPr>
        <w:t>附录</w:t>
      </w:r>
      <w:bookmarkEnd w:id="107"/>
    </w:p>
    <w:p>
      <w:pPr>
        <w:pStyle w:val="4"/>
        <w:widowControl w:val="0"/>
        <w:jc w:val="both"/>
        <w:rPr>
          <w:color w:val="000000"/>
        </w:rPr>
      </w:pPr>
      <w:bookmarkStart w:id="108" w:name="_Toc18571"/>
      <w:r>
        <w:rPr>
          <w:color w:val="000000"/>
        </w:rPr>
        <w:t>工作日/节假日人员逐时在室率(%)</w:t>
      </w:r>
      <w:bookmarkEnd w:id="10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Pr>
        <w:widowControl w:val="0"/>
        <w:jc w:val="both"/>
        <w:rPr>
          <w:color w:val="000000"/>
        </w:rPr>
      </w:pPr>
    </w:p>
    <w:p>
      <w:r>
        <w:t>注：上行：工作日；下行：节假日</w:t>
      </w:r>
    </w:p>
    <w:p>
      <w:pPr>
        <w:pStyle w:val="4"/>
      </w:pPr>
      <w:bookmarkStart w:id="109" w:name="_Toc25398"/>
      <w:r>
        <w:t>工作日/节假日照明开关时间表(%)</w:t>
      </w:r>
      <w:bookmarkEnd w:id="10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0" w:name="_Toc19811"/>
      <w:r>
        <w:t>工作日/节假日设备逐时使用率(%)</w:t>
      </w:r>
      <w:bookmarkEnd w:id="11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1" w:name="_Toc4226"/>
      <w:r>
        <w:t>工作日/节假日空调系统运行时间表(1:开,0:关)</w:t>
      </w:r>
      <w:bookmarkEnd w:id="111"/>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12" w:name="_Toc29092"/>
      <w:r>
        <w:t>工作日/节假日新风运行时间表(%)</w:t>
      </w:r>
      <w:bookmarkEnd w:id="112"/>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73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955B8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46804B4"/>
    <w:rsid w:val="5E95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12</Pages>
  <Words>2937</Words>
  <Characters>4424</Characters>
  <Lines>24</Lines>
  <Paragraphs>7</Paragraphs>
  <TotalTime>2</TotalTime>
  <ScaleCrop>false</ScaleCrop>
  <LinksUpToDate>false</LinksUpToDate>
  <CharactersWithSpaces>4598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2026-03-28T05:10:00Z</dcterms:created>
  <dc:creator>Administrator</dc:creator>
  <cp:lastModifiedBy>平一梅</cp:lastModifiedBy>
  <dcterms:modified xsi:type="dcterms:W3CDTF">2026-03-28T10:03:18Z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453CEEF9EFB943C9BCD35C37D07D5E12_11</vt:lpwstr>
  </property>
  <property fmtid="{D5CDD505-2E9C-101B-9397-08002B2CF9AE}" pid="3" name="KSOProductBuildVer">
    <vt:lpwstr>2052-11.1.0.10009</vt:lpwstr>
  </property>
</Properties>
</file>